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836"/>
      </w:tblGrid>
      <w:tr w:rsidR="00854C42" w:rsidRPr="00D57FA1" w:rsidTr="0071188A">
        <w:trPr>
          <w:jc w:val="center"/>
        </w:trPr>
        <w:tc>
          <w:tcPr>
            <w:tcW w:w="4429" w:type="dxa"/>
            <w:tcBorders>
              <w:right w:val="single" w:sz="4" w:space="0" w:color="auto"/>
            </w:tcBorders>
          </w:tcPr>
          <w:p w:rsidR="00B976AC" w:rsidRDefault="00B976AC" w:rsidP="004313E9">
            <w:pPr>
              <w:jc w:val="center"/>
              <w:rPr>
                <w:rFonts w:ascii="Arial" w:hAnsi="Arial" w:cs="Arial"/>
                <w:b/>
                <w:bCs/>
                <w:sz w:val="28"/>
              </w:rPr>
            </w:pPr>
          </w:p>
          <w:p w:rsidR="00854C42" w:rsidRPr="0071188A" w:rsidRDefault="00B976AC" w:rsidP="004313E9">
            <w:pPr>
              <w:jc w:val="center"/>
              <w:rPr>
                <w:rFonts w:ascii="Arial" w:hAnsi="Arial" w:cs="Arial"/>
                <w:b/>
                <w:sz w:val="32"/>
                <w:szCs w:val="32"/>
                <w:lang w:eastAsia="en-GB"/>
              </w:rPr>
            </w:pPr>
            <w:r w:rsidRPr="0071188A">
              <w:rPr>
                <w:rFonts w:ascii="Arial" w:hAnsi="Arial" w:cs="Arial"/>
                <w:b/>
                <w:bCs/>
                <w:sz w:val="32"/>
                <w:szCs w:val="32"/>
              </w:rPr>
              <w:t>Customer Feedback</w:t>
            </w:r>
            <w:r w:rsidRPr="0071188A">
              <w:rPr>
                <w:rFonts w:cs="Arial"/>
                <w:b/>
                <w:bCs/>
                <w:sz w:val="32"/>
                <w:szCs w:val="32"/>
              </w:rPr>
              <w:t xml:space="preserve"> </w:t>
            </w:r>
            <w:r w:rsidR="00854C42" w:rsidRPr="0071188A">
              <w:rPr>
                <w:rFonts w:ascii="Arial" w:hAnsi="Arial" w:cs="Arial"/>
                <w:b/>
                <w:sz w:val="32"/>
                <w:szCs w:val="32"/>
                <w:lang w:eastAsia="en-GB"/>
              </w:rPr>
              <w:t>Policy</w:t>
            </w:r>
          </w:p>
          <w:p w:rsidR="00854C42" w:rsidRPr="00D57FA1" w:rsidRDefault="00854C42" w:rsidP="004313E9">
            <w:pPr>
              <w:jc w:val="center"/>
              <w:rPr>
                <w:rFonts w:ascii="Arial" w:hAnsi="Arial" w:cs="Arial"/>
                <w:b/>
                <w:lang w:eastAsia="en-GB"/>
              </w:rPr>
            </w:pPr>
          </w:p>
        </w:tc>
        <w:tc>
          <w:tcPr>
            <w:tcW w:w="4836" w:type="dxa"/>
            <w:tcBorders>
              <w:top w:val="nil"/>
              <w:left w:val="single" w:sz="4" w:space="0" w:color="auto"/>
              <w:bottom w:val="nil"/>
              <w:right w:val="nil"/>
            </w:tcBorders>
          </w:tcPr>
          <w:p w:rsidR="00854C42" w:rsidRPr="00D57FA1" w:rsidRDefault="0071188A" w:rsidP="004313E9">
            <w:pPr>
              <w:jc w:val="center"/>
              <w:rPr>
                <w:rFonts w:ascii="Arial" w:hAnsi="Arial" w:cs="Arial"/>
                <w:b/>
                <w:lang w:eastAsia="en-GB"/>
              </w:rPr>
            </w:pPr>
            <w:r>
              <w:rPr>
                <w:rFonts w:ascii="Arial" w:hAnsi="Arial" w:cs="Arial"/>
                <w:b/>
                <w:noProof/>
                <w:lang w:eastAsia="en-GB"/>
              </w:rPr>
              <w:drawing>
                <wp:inline distT="0" distB="0" distL="0" distR="0" wp14:anchorId="3F26B1E9" wp14:editId="4A841096">
                  <wp:extent cx="2933700" cy="6566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 Homes Group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0808" cy="658263"/>
                          </a:xfrm>
                          <a:prstGeom prst="rect">
                            <a:avLst/>
                          </a:prstGeom>
                        </pic:spPr>
                      </pic:pic>
                    </a:graphicData>
                  </a:graphic>
                </wp:inline>
              </w:drawing>
            </w:r>
          </w:p>
        </w:tc>
      </w:tr>
    </w:tbl>
    <w:p w:rsidR="004B5F33" w:rsidRDefault="004B5F33" w:rsidP="003B34AD">
      <w:pPr>
        <w:rPr>
          <w:rFonts w:ascii="Arial" w:hAnsi="Arial" w:cs="Arial"/>
          <w:b/>
          <w:bCs/>
          <w:lang w:val="en-US"/>
        </w:rPr>
      </w:pPr>
    </w:p>
    <w:tbl>
      <w:tblPr>
        <w:tblW w:w="10146" w:type="dxa"/>
        <w:tblInd w:w="-318" w:type="dxa"/>
        <w:tblLayout w:type="fixed"/>
        <w:tblLook w:val="01E0" w:firstRow="1" w:lastRow="1" w:firstColumn="1" w:lastColumn="1" w:noHBand="0" w:noVBand="0"/>
      </w:tblPr>
      <w:tblGrid>
        <w:gridCol w:w="1135"/>
        <w:gridCol w:w="9011"/>
      </w:tblGrid>
      <w:tr w:rsidR="00D50108" w:rsidRPr="00BA42AA" w:rsidTr="00C87EB1">
        <w:tc>
          <w:tcPr>
            <w:tcW w:w="1135" w:type="dxa"/>
            <w:shd w:val="clear" w:color="auto" w:fill="auto"/>
          </w:tcPr>
          <w:p w:rsidR="00D50108" w:rsidRPr="00BC7992" w:rsidRDefault="00D50108" w:rsidP="00885C12">
            <w:pPr>
              <w:pStyle w:val="ListParagraph"/>
              <w:numPr>
                <w:ilvl w:val="0"/>
                <w:numId w:val="5"/>
              </w:numPr>
              <w:rPr>
                <w:rFonts w:ascii="Arial" w:hAnsi="Arial" w:cs="Arial"/>
                <w:b/>
              </w:rPr>
            </w:pPr>
          </w:p>
        </w:tc>
        <w:tc>
          <w:tcPr>
            <w:tcW w:w="9011" w:type="dxa"/>
            <w:shd w:val="clear" w:color="auto" w:fill="auto"/>
          </w:tcPr>
          <w:p w:rsidR="00D50108" w:rsidRPr="00BA42AA" w:rsidRDefault="00D50108" w:rsidP="00D50108">
            <w:pPr>
              <w:rPr>
                <w:rFonts w:ascii="Arial" w:hAnsi="Arial" w:cs="Arial"/>
                <w:b/>
              </w:rPr>
            </w:pPr>
            <w:r w:rsidRPr="00BA42AA">
              <w:rPr>
                <w:rFonts w:ascii="Arial" w:hAnsi="Arial" w:cs="Arial"/>
                <w:b/>
              </w:rPr>
              <w:t>BACKGROUND AND OBJECTIVES</w:t>
            </w:r>
          </w:p>
          <w:p w:rsidR="00D50108" w:rsidRPr="00BA42AA" w:rsidRDefault="00D50108" w:rsidP="00D50108">
            <w:pPr>
              <w:rPr>
                <w:rFonts w:ascii="Arial" w:hAnsi="Arial" w:cs="Arial"/>
                <w:b/>
              </w:rPr>
            </w:pPr>
          </w:p>
        </w:tc>
      </w:tr>
      <w:tr w:rsidR="00D50108" w:rsidRPr="00BA42AA" w:rsidTr="00C87EB1">
        <w:tc>
          <w:tcPr>
            <w:tcW w:w="1135" w:type="dxa"/>
            <w:shd w:val="clear" w:color="auto" w:fill="auto"/>
          </w:tcPr>
          <w:p w:rsidR="00D50108" w:rsidRPr="00BC7992" w:rsidRDefault="00D50108" w:rsidP="00885C12">
            <w:pPr>
              <w:pStyle w:val="ListParagraph"/>
              <w:numPr>
                <w:ilvl w:val="1"/>
                <w:numId w:val="5"/>
              </w:numPr>
              <w:ind w:hanging="747"/>
              <w:rPr>
                <w:rFonts w:ascii="Arial" w:hAnsi="Arial" w:cs="Arial"/>
              </w:rPr>
            </w:pPr>
          </w:p>
        </w:tc>
        <w:tc>
          <w:tcPr>
            <w:tcW w:w="9011" w:type="dxa"/>
            <w:shd w:val="clear" w:color="auto" w:fill="auto"/>
          </w:tcPr>
          <w:p w:rsidR="00D50108" w:rsidRPr="00B976AC" w:rsidRDefault="00A1286E" w:rsidP="00DF05AC">
            <w:pPr>
              <w:rPr>
                <w:rFonts w:ascii="Arial" w:hAnsi="Arial" w:cs="Arial"/>
                <w:sz w:val="16"/>
                <w:szCs w:val="16"/>
              </w:rPr>
            </w:pPr>
            <w:r>
              <w:rPr>
                <w:rFonts w:ascii="Arial" w:hAnsi="Arial" w:cs="Arial"/>
              </w:rPr>
              <w:t xml:space="preserve">Alliance Homes Group </w:t>
            </w:r>
            <w:r w:rsidR="00DF05AC">
              <w:rPr>
                <w:rFonts w:ascii="Arial" w:hAnsi="Arial" w:cs="Arial"/>
              </w:rPr>
              <w:t xml:space="preserve">believes </w:t>
            </w:r>
            <w:r w:rsidR="00B976AC" w:rsidRPr="00B976AC">
              <w:rPr>
                <w:rFonts w:ascii="Arial" w:hAnsi="Arial" w:cs="Arial"/>
              </w:rPr>
              <w:t xml:space="preserve">that customers have a right to comment about services.  As such, we aim to provide an accessible, fair and effective customer feedback procedure that encourages customers to give feedback.  </w:t>
            </w:r>
          </w:p>
        </w:tc>
      </w:tr>
      <w:tr w:rsidR="00BC7992" w:rsidRPr="00BA42AA" w:rsidTr="00C87EB1">
        <w:tc>
          <w:tcPr>
            <w:tcW w:w="1135" w:type="dxa"/>
            <w:shd w:val="clear" w:color="auto" w:fill="auto"/>
          </w:tcPr>
          <w:p w:rsidR="00BC7992" w:rsidRPr="00BC7992" w:rsidRDefault="00BC7992" w:rsidP="00B8298D">
            <w:pPr>
              <w:pStyle w:val="ListParagraph"/>
              <w:ind w:hanging="747"/>
              <w:rPr>
                <w:rFonts w:ascii="Arial" w:hAnsi="Arial" w:cs="Arial"/>
              </w:rPr>
            </w:pPr>
          </w:p>
        </w:tc>
        <w:tc>
          <w:tcPr>
            <w:tcW w:w="9011" w:type="dxa"/>
            <w:shd w:val="clear" w:color="auto" w:fill="auto"/>
          </w:tcPr>
          <w:p w:rsidR="00BC7992" w:rsidRPr="00B976AC" w:rsidRDefault="00BC7992" w:rsidP="00BC7992">
            <w:pPr>
              <w:ind w:left="720" w:hanging="720"/>
              <w:rPr>
                <w:rFonts w:ascii="Arial" w:hAnsi="Arial" w:cs="Arial"/>
              </w:rPr>
            </w:pPr>
          </w:p>
        </w:tc>
      </w:tr>
      <w:tr w:rsidR="00BC7992" w:rsidRPr="00BA42AA" w:rsidTr="00C87EB1">
        <w:tc>
          <w:tcPr>
            <w:tcW w:w="1135" w:type="dxa"/>
            <w:shd w:val="clear" w:color="auto" w:fill="auto"/>
          </w:tcPr>
          <w:p w:rsidR="00BC7992" w:rsidRPr="00BC7992" w:rsidRDefault="00BC7992" w:rsidP="00885C12">
            <w:pPr>
              <w:pStyle w:val="ListParagraph"/>
              <w:numPr>
                <w:ilvl w:val="1"/>
                <w:numId w:val="5"/>
              </w:numPr>
              <w:ind w:hanging="747"/>
              <w:rPr>
                <w:rFonts w:ascii="Arial" w:hAnsi="Arial" w:cs="Arial"/>
              </w:rPr>
            </w:pPr>
          </w:p>
        </w:tc>
        <w:tc>
          <w:tcPr>
            <w:tcW w:w="9011" w:type="dxa"/>
            <w:shd w:val="clear" w:color="auto" w:fill="auto"/>
          </w:tcPr>
          <w:p w:rsidR="00BC7992" w:rsidRPr="00B976AC" w:rsidRDefault="00B976AC" w:rsidP="00DF05AC">
            <w:pPr>
              <w:rPr>
                <w:rFonts w:ascii="Arial" w:hAnsi="Arial" w:cs="Arial"/>
              </w:rPr>
            </w:pPr>
            <w:r w:rsidRPr="00B976AC">
              <w:rPr>
                <w:rFonts w:ascii="Arial" w:hAnsi="Arial" w:cs="Arial"/>
              </w:rPr>
              <w:t xml:space="preserve">We welcome </w:t>
            </w:r>
            <w:r w:rsidR="00DF05AC">
              <w:rPr>
                <w:rFonts w:ascii="Arial" w:hAnsi="Arial" w:cs="Arial"/>
              </w:rPr>
              <w:t xml:space="preserve">feedback </w:t>
            </w:r>
            <w:r w:rsidRPr="00B976AC">
              <w:rPr>
                <w:rFonts w:ascii="Arial" w:hAnsi="Arial" w:cs="Arial"/>
              </w:rPr>
              <w:t>as an important part of our commitment to customer care and service development.</w:t>
            </w:r>
          </w:p>
        </w:tc>
      </w:tr>
      <w:tr w:rsidR="00BC7992" w:rsidRPr="00BA42AA" w:rsidTr="00C87EB1">
        <w:tc>
          <w:tcPr>
            <w:tcW w:w="1135" w:type="dxa"/>
            <w:shd w:val="clear" w:color="auto" w:fill="auto"/>
          </w:tcPr>
          <w:p w:rsidR="00BC7992" w:rsidRPr="00BC7992" w:rsidRDefault="00BC7992" w:rsidP="00B8298D">
            <w:pPr>
              <w:pStyle w:val="ListParagraph"/>
              <w:ind w:left="792" w:hanging="747"/>
              <w:rPr>
                <w:rFonts w:ascii="Arial" w:hAnsi="Arial" w:cs="Arial"/>
              </w:rPr>
            </w:pPr>
          </w:p>
        </w:tc>
        <w:tc>
          <w:tcPr>
            <w:tcW w:w="9011" w:type="dxa"/>
            <w:shd w:val="clear" w:color="auto" w:fill="auto"/>
          </w:tcPr>
          <w:p w:rsidR="00BC7992" w:rsidRPr="00B976AC" w:rsidRDefault="00BC7992" w:rsidP="00BC7992">
            <w:pPr>
              <w:rPr>
                <w:rFonts w:ascii="Arial" w:hAnsi="Arial" w:cs="Arial"/>
              </w:rPr>
            </w:pPr>
          </w:p>
        </w:tc>
      </w:tr>
      <w:tr w:rsidR="00BC7992" w:rsidRPr="00BA42AA" w:rsidTr="00C87EB1">
        <w:tc>
          <w:tcPr>
            <w:tcW w:w="1135" w:type="dxa"/>
            <w:shd w:val="clear" w:color="auto" w:fill="auto"/>
          </w:tcPr>
          <w:p w:rsidR="00BC7992" w:rsidRPr="00BC7992" w:rsidRDefault="00BC7992" w:rsidP="00885C12">
            <w:pPr>
              <w:pStyle w:val="ListParagraph"/>
              <w:numPr>
                <w:ilvl w:val="1"/>
                <w:numId w:val="5"/>
              </w:numPr>
              <w:ind w:hanging="747"/>
              <w:rPr>
                <w:rFonts w:ascii="Arial" w:hAnsi="Arial" w:cs="Arial"/>
              </w:rPr>
            </w:pPr>
          </w:p>
        </w:tc>
        <w:tc>
          <w:tcPr>
            <w:tcW w:w="9011" w:type="dxa"/>
            <w:shd w:val="clear" w:color="auto" w:fill="auto"/>
          </w:tcPr>
          <w:p w:rsidR="00BC7992" w:rsidRPr="00B976AC" w:rsidRDefault="00B976AC" w:rsidP="00A91181">
            <w:pPr>
              <w:rPr>
                <w:rFonts w:ascii="Arial" w:hAnsi="Arial" w:cs="Arial"/>
              </w:rPr>
            </w:pPr>
            <w:r w:rsidRPr="00B976AC">
              <w:rPr>
                <w:rFonts w:ascii="Arial" w:hAnsi="Arial" w:cs="Arial"/>
              </w:rPr>
              <w:t>We apply this policy and its associated procedure to ensure that any customer who is not happy with the level of service received has an accessible, confidential and easy to use method for making a complaint, which offers effective action and response.</w:t>
            </w:r>
          </w:p>
        </w:tc>
      </w:tr>
      <w:tr w:rsidR="00BC7992" w:rsidRPr="00BA42AA" w:rsidTr="00C87EB1">
        <w:tc>
          <w:tcPr>
            <w:tcW w:w="1135" w:type="dxa"/>
            <w:shd w:val="clear" w:color="auto" w:fill="auto"/>
          </w:tcPr>
          <w:p w:rsidR="00BC7992" w:rsidRPr="00BC7992" w:rsidRDefault="00BC7992" w:rsidP="00B8298D">
            <w:pPr>
              <w:pStyle w:val="ListParagraph"/>
              <w:ind w:left="360" w:hanging="747"/>
              <w:rPr>
                <w:rFonts w:ascii="Arial" w:hAnsi="Arial" w:cs="Arial"/>
              </w:rPr>
            </w:pPr>
          </w:p>
        </w:tc>
        <w:tc>
          <w:tcPr>
            <w:tcW w:w="9011" w:type="dxa"/>
            <w:shd w:val="clear" w:color="auto" w:fill="auto"/>
          </w:tcPr>
          <w:p w:rsidR="00BC7992" w:rsidRPr="00B976AC" w:rsidRDefault="00BC7992" w:rsidP="00D50108">
            <w:pPr>
              <w:rPr>
                <w:rFonts w:ascii="Arial" w:hAnsi="Arial" w:cs="Arial"/>
              </w:rPr>
            </w:pPr>
          </w:p>
        </w:tc>
      </w:tr>
      <w:tr w:rsidR="00D50108" w:rsidRPr="00BA42AA" w:rsidTr="00C87EB1">
        <w:tc>
          <w:tcPr>
            <w:tcW w:w="1135" w:type="dxa"/>
            <w:shd w:val="clear" w:color="auto" w:fill="auto"/>
          </w:tcPr>
          <w:p w:rsidR="00D50108" w:rsidRPr="00A1286E" w:rsidRDefault="00D50108" w:rsidP="00885C12">
            <w:pPr>
              <w:pStyle w:val="ListParagraph"/>
              <w:numPr>
                <w:ilvl w:val="1"/>
                <w:numId w:val="5"/>
              </w:numPr>
              <w:ind w:hanging="747"/>
              <w:rPr>
                <w:rFonts w:ascii="Arial" w:hAnsi="Arial" w:cs="Arial"/>
              </w:rPr>
            </w:pPr>
          </w:p>
        </w:tc>
        <w:tc>
          <w:tcPr>
            <w:tcW w:w="9011" w:type="dxa"/>
            <w:shd w:val="clear" w:color="auto" w:fill="auto"/>
          </w:tcPr>
          <w:p w:rsidR="00D50108" w:rsidRPr="00A1286E" w:rsidRDefault="00B976AC" w:rsidP="00B976AC">
            <w:pPr>
              <w:rPr>
                <w:rFonts w:ascii="Arial" w:hAnsi="Arial" w:cs="Arial"/>
              </w:rPr>
            </w:pPr>
            <w:r w:rsidRPr="00A1286E">
              <w:rPr>
                <w:rFonts w:ascii="Arial" w:hAnsi="Arial" w:cs="Arial"/>
              </w:rPr>
              <w:t>We aim to provide high quality services to our customers at all times.  However, we recognise that, in any organisation, service provision may not always be satisfactory.  This policy and its accompanying procedure will address this matter.</w:t>
            </w:r>
          </w:p>
        </w:tc>
      </w:tr>
      <w:tr w:rsidR="00BC7992" w:rsidRPr="00BA42AA" w:rsidTr="00A1286E">
        <w:trPr>
          <w:trHeight w:val="72"/>
        </w:trPr>
        <w:tc>
          <w:tcPr>
            <w:tcW w:w="1135" w:type="dxa"/>
            <w:shd w:val="clear" w:color="auto" w:fill="auto"/>
          </w:tcPr>
          <w:p w:rsidR="00BC7992" w:rsidRPr="00A1286E" w:rsidRDefault="00BC7992" w:rsidP="00B8298D">
            <w:pPr>
              <w:pStyle w:val="ListParagraph"/>
              <w:ind w:left="360" w:hanging="747"/>
              <w:rPr>
                <w:rFonts w:ascii="Arial" w:hAnsi="Arial" w:cs="Arial"/>
              </w:rPr>
            </w:pPr>
          </w:p>
        </w:tc>
        <w:tc>
          <w:tcPr>
            <w:tcW w:w="9011" w:type="dxa"/>
            <w:shd w:val="clear" w:color="auto" w:fill="auto"/>
          </w:tcPr>
          <w:p w:rsidR="00BC7992" w:rsidRPr="00A1286E" w:rsidRDefault="00BC7992" w:rsidP="00D50108">
            <w:pPr>
              <w:rPr>
                <w:rFonts w:ascii="Arial" w:hAnsi="Arial" w:cs="Arial"/>
              </w:rPr>
            </w:pPr>
          </w:p>
        </w:tc>
      </w:tr>
      <w:tr w:rsidR="00286C25" w:rsidRPr="00BA42AA" w:rsidTr="00C87EB1">
        <w:tc>
          <w:tcPr>
            <w:tcW w:w="1135" w:type="dxa"/>
            <w:shd w:val="clear" w:color="auto" w:fill="auto"/>
          </w:tcPr>
          <w:p w:rsidR="00286C25" w:rsidRPr="00A1286E" w:rsidRDefault="00286C25" w:rsidP="00B8298D">
            <w:pPr>
              <w:pStyle w:val="ListParagraph"/>
              <w:ind w:left="360" w:hanging="747"/>
              <w:rPr>
                <w:rFonts w:ascii="Arial" w:hAnsi="Arial" w:cs="Arial"/>
              </w:rPr>
            </w:pPr>
          </w:p>
        </w:tc>
        <w:tc>
          <w:tcPr>
            <w:tcW w:w="9011" w:type="dxa"/>
            <w:shd w:val="clear" w:color="auto" w:fill="auto"/>
          </w:tcPr>
          <w:p w:rsidR="00286C25" w:rsidRPr="00A1286E" w:rsidRDefault="00A91181" w:rsidP="00A91181">
            <w:pPr>
              <w:pStyle w:val="Default"/>
            </w:pPr>
            <w:r w:rsidRPr="00A1286E">
              <w:t>We</w:t>
            </w:r>
            <w:r w:rsidR="00286C25" w:rsidRPr="00A1286E">
              <w:t xml:space="preserve"> provid</w:t>
            </w:r>
            <w:r w:rsidRPr="00A1286E">
              <w:t>e</w:t>
            </w:r>
            <w:r w:rsidR="00286C25" w:rsidRPr="00A1286E">
              <w:t xml:space="preserve"> an approach to complaints that is clear, simple and accessible</w:t>
            </w:r>
            <w:r w:rsidRPr="00A1286E">
              <w:t>, w</w:t>
            </w:r>
            <w:r w:rsidR="00B03B39" w:rsidRPr="00A1286E">
              <w:t>hich</w:t>
            </w:r>
            <w:r w:rsidR="00286C25" w:rsidRPr="00A1286E">
              <w:t xml:space="preserve"> ensures that complaints are resolved promptly, politely and fairly</w:t>
            </w:r>
            <w:r w:rsidRPr="00A1286E">
              <w:t>.</w:t>
            </w:r>
            <w:r w:rsidR="00286C25" w:rsidRPr="00A1286E">
              <w:t xml:space="preserve"> </w:t>
            </w:r>
            <w:r w:rsidRPr="00A1286E">
              <w:t xml:space="preserve"> T</w:t>
            </w:r>
            <w:r w:rsidR="00286C25" w:rsidRPr="00A1286E">
              <w:t>his policy assists us in meeting our obligations under the H</w:t>
            </w:r>
            <w:r w:rsidR="00B03B39" w:rsidRPr="00A1286E">
              <w:t xml:space="preserve">omes &amp; </w:t>
            </w:r>
            <w:r w:rsidR="00286C25" w:rsidRPr="00A1286E">
              <w:t>C</w:t>
            </w:r>
            <w:r w:rsidR="00B03B39" w:rsidRPr="00A1286E">
              <w:t xml:space="preserve">ommunity </w:t>
            </w:r>
            <w:r w:rsidR="00286C25" w:rsidRPr="00A1286E">
              <w:t>A</w:t>
            </w:r>
            <w:r w:rsidR="00B03B39" w:rsidRPr="00A1286E">
              <w:t>gency</w:t>
            </w:r>
            <w:r w:rsidR="00286C25" w:rsidRPr="00A1286E">
              <w:t xml:space="preserve">’s Tenant Involvement &amp; Empowerment Standard, </w:t>
            </w:r>
            <w:r w:rsidRPr="00A1286E">
              <w:t>and the CQC fundamental standards</w:t>
            </w:r>
            <w:r w:rsidR="00286C25" w:rsidRPr="00A1286E">
              <w:t>.</w:t>
            </w:r>
          </w:p>
        </w:tc>
      </w:tr>
      <w:tr w:rsidR="00286C25" w:rsidRPr="00BA42AA" w:rsidTr="00C87EB1">
        <w:tc>
          <w:tcPr>
            <w:tcW w:w="1135" w:type="dxa"/>
            <w:shd w:val="clear" w:color="auto" w:fill="auto"/>
          </w:tcPr>
          <w:p w:rsidR="00286C25" w:rsidRPr="00BC7992" w:rsidRDefault="00286C25" w:rsidP="00B8298D">
            <w:pPr>
              <w:pStyle w:val="ListParagraph"/>
              <w:ind w:left="360" w:hanging="747"/>
              <w:rPr>
                <w:rFonts w:ascii="Arial" w:hAnsi="Arial" w:cs="Arial"/>
              </w:rPr>
            </w:pPr>
          </w:p>
        </w:tc>
        <w:tc>
          <w:tcPr>
            <w:tcW w:w="9011" w:type="dxa"/>
            <w:shd w:val="clear" w:color="auto" w:fill="auto"/>
          </w:tcPr>
          <w:p w:rsidR="00286C25" w:rsidRPr="00B976AC" w:rsidRDefault="00286C25" w:rsidP="00D50108">
            <w:pPr>
              <w:rPr>
                <w:rFonts w:ascii="Arial" w:hAnsi="Arial" w:cs="Arial"/>
              </w:rPr>
            </w:pPr>
          </w:p>
        </w:tc>
      </w:tr>
      <w:tr w:rsidR="00787EC3" w:rsidRPr="00BA42AA" w:rsidTr="00C87EB1">
        <w:tc>
          <w:tcPr>
            <w:tcW w:w="1135" w:type="dxa"/>
            <w:shd w:val="clear" w:color="auto" w:fill="auto"/>
          </w:tcPr>
          <w:p w:rsidR="00787EC3" w:rsidRPr="00BC7992" w:rsidRDefault="00787EC3" w:rsidP="00885C12">
            <w:pPr>
              <w:pStyle w:val="ListParagraph"/>
              <w:numPr>
                <w:ilvl w:val="1"/>
                <w:numId w:val="5"/>
              </w:numPr>
              <w:ind w:hanging="747"/>
              <w:rPr>
                <w:rFonts w:ascii="Arial" w:hAnsi="Arial" w:cs="Arial"/>
              </w:rPr>
            </w:pPr>
          </w:p>
        </w:tc>
        <w:tc>
          <w:tcPr>
            <w:tcW w:w="9011" w:type="dxa"/>
            <w:shd w:val="clear" w:color="auto" w:fill="auto"/>
          </w:tcPr>
          <w:p w:rsidR="00787EC3" w:rsidRPr="00B976AC" w:rsidRDefault="00B976AC" w:rsidP="00DF05AC">
            <w:pPr>
              <w:ind w:left="45"/>
              <w:rPr>
                <w:rFonts w:ascii="Arial" w:hAnsi="Arial" w:cs="Arial"/>
              </w:rPr>
            </w:pPr>
            <w:r w:rsidRPr="00B976AC">
              <w:rPr>
                <w:rFonts w:ascii="Arial" w:hAnsi="Arial" w:cs="Arial"/>
              </w:rPr>
              <w:t>We will learn from feedback about our services so that we may continually improve those services.</w:t>
            </w:r>
          </w:p>
        </w:tc>
      </w:tr>
      <w:tr w:rsidR="00BC7992" w:rsidRPr="00BA42AA" w:rsidTr="00C87EB1">
        <w:tc>
          <w:tcPr>
            <w:tcW w:w="1135" w:type="dxa"/>
            <w:shd w:val="clear" w:color="auto" w:fill="auto"/>
          </w:tcPr>
          <w:p w:rsidR="00BC7992" w:rsidRPr="00BC7992" w:rsidRDefault="00BC7992" w:rsidP="00BC7992">
            <w:pPr>
              <w:pStyle w:val="ListParagraph"/>
              <w:ind w:left="360"/>
              <w:rPr>
                <w:rFonts w:ascii="Arial" w:hAnsi="Arial" w:cs="Arial"/>
              </w:rPr>
            </w:pPr>
          </w:p>
        </w:tc>
        <w:tc>
          <w:tcPr>
            <w:tcW w:w="9011" w:type="dxa"/>
            <w:shd w:val="clear" w:color="auto" w:fill="auto"/>
          </w:tcPr>
          <w:p w:rsidR="00BC7992" w:rsidRPr="00BA42AA" w:rsidRDefault="00BC7992" w:rsidP="00D50108">
            <w:pPr>
              <w:rPr>
                <w:rFonts w:ascii="Arial" w:hAnsi="Arial" w:cs="Arial"/>
              </w:rPr>
            </w:pPr>
          </w:p>
        </w:tc>
      </w:tr>
      <w:tr w:rsidR="00D50108" w:rsidRPr="00BA42AA" w:rsidTr="00C87EB1">
        <w:tc>
          <w:tcPr>
            <w:tcW w:w="1135" w:type="dxa"/>
            <w:shd w:val="clear" w:color="auto" w:fill="auto"/>
          </w:tcPr>
          <w:p w:rsidR="00D50108" w:rsidRPr="00BC7992" w:rsidRDefault="00D50108" w:rsidP="00885C12">
            <w:pPr>
              <w:pStyle w:val="ListParagraph"/>
              <w:numPr>
                <w:ilvl w:val="0"/>
                <w:numId w:val="5"/>
              </w:numPr>
              <w:rPr>
                <w:rFonts w:ascii="Arial" w:hAnsi="Arial" w:cs="Arial"/>
                <w:b/>
              </w:rPr>
            </w:pPr>
          </w:p>
        </w:tc>
        <w:tc>
          <w:tcPr>
            <w:tcW w:w="9011" w:type="dxa"/>
            <w:shd w:val="clear" w:color="auto" w:fill="auto"/>
          </w:tcPr>
          <w:p w:rsidR="00D50108" w:rsidRPr="00BA42AA" w:rsidRDefault="00D50108" w:rsidP="00D50108">
            <w:pPr>
              <w:rPr>
                <w:rFonts w:ascii="Arial" w:hAnsi="Arial" w:cs="Arial"/>
                <w:b/>
              </w:rPr>
            </w:pPr>
            <w:r w:rsidRPr="00BA42AA">
              <w:rPr>
                <w:rFonts w:ascii="Arial" w:hAnsi="Arial" w:cs="Arial"/>
                <w:b/>
              </w:rPr>
              <w:t>POLICY DETAIL</w:t>
            </w:r>
          </w:p>
          <w:p w:rsidR="00D50108" w:rsidRPr="00BA42AA" w:rsidRDefault="00D50108" w:rsidP="00D50108">
            <w:pPr>
              <w:rPr>
                <w:rFonts w:ascii="Arial" w:hAnsi="Arial" w:cs="Arial"/>
                <w:bCs/>
                <w:i/>
                <w:color w:val="FF0000"/>
                <w:lang w:val="en-US"/>
              </w:rPr>
            </w:pPr>
          </w:p>
        </w:tc>
      </w:tr>
      <w:tr w:rsidR="00D50108" w:rsidRPr="00BA42AA" w:rsidTr="00C87EB1">
        <w:trPr>
          <w:trHeight w:val="250"/>
        </w:trPr>
        <w:tc>
          <w:tcPr>
            <w:tcW w:w="1135" w:type="dxa"/>
            <w:shd w:val="clear" w:color="auto" w:fill="auto"/>
          </w:tcPr>
          <w:p w:rsidR="00D50108" w:rsidRPr="00BC7992" w:rsidRDefault="00D50108" w:rsidP="00885C12">
            <w:pPr>
              <w:pStyle w:val="ListParagraph"/>
              <w:numPr>
                <w:ilvl w:val="1"/>
                <w:numId w:val="5"/>
              </w:numPr>
              <w:ind w:hanging="792"/>
              <w:rPr>
                <w:rFonts w:ascii="Arial" w:hAnsi="Arial" w:cs="Arial"/>
              </w:rPr>
            </w:pPr>
          </w:p>
        </w:tc>
        <w:tc>
          <w:tcPr>
            <w:tcW w:w="9011" w:type="dxa"/>
            <w:shd w:val="clear" w:color="auto" w:fill="auto"/>
          </w:tcPr>
          <w:p w:rsidR="00D50108" w:rsidRPr="00C87EB1" w:rsidRDefault="00B976AC" w:rsidP="00C87EB1">
            <w:pPr>
              <w:rPr>
                <w:rFonts w:ascii="Arial" w:hAnsi="Arial" w:cs="Arial"/>
                <w:b/>
              </w:rPr>
            </w:pPr>
            <w:r w:rsidRPr="00C87EB1">
              <w:rPr>
                <w:rFonts w:ascii="Arial" w:hAnsi="Arial" w:cs="Arial"/>
                <w:b/>
              </w:rPr>
              <w:t>Definitions</w:t>
            </w:r>
          </w:p>
        </w:tc>
      </w:tr>
      <w:tr w:rsidR="00616484" w:rsidRPr="00BA42AA" w:rsidTr="00C87EB1">
        <w:trPr>
          <w:trHeight w:val="250"/>
        </w:trPr>
        <w:tc>
          <w:tcPr>
            <w:tcW w:w="1135" w:type="dxa"/>
            <w:shd w:val="clear" w:color="auto" w:fill="auto"/>
          </w:tcPr>
          <w:p w:rsidR="00616484" w:rsidRPr="00BC7992" w:rsidRDefault="00616484" w:rsidP="00B8298D">
            <w:pPr>
              <w:pStyle w:val="ListParagraph"/>
              <w:ind w:left="360" w:hanging="792"/>
              <w:rPr>
                <w:rFonts w:ascii="Arial" w:hAnsi="Arial" w:cs="Arial"/>
              </w:rPr>
            </w:pPr>
          </w:p>
        </w:tc>
        <w:tc>
          <w:tcPr>
            <w:tcW w:w="9011" w:type="dxa"/>
            <w:shd w:val="clear" w:color="auto" w:fill="auto"/>
          </w:tcPr>
          <w:p w:rsidR="00616484" w:rsidRPr="00C87EB1" w:rsidRDefault="00616484" w:rsidP="00616484">
            <w:pPr>
              <w:rPr>
                <w:rFonts w:ascii="Arial" w:hAnsi="Arial" w:cs="Arial"/>
              </w:rPr>
            </w:pPr>
          </w:p>
        </w:tc>
      </w:tr>
      <w:tr w:rsidR="00C87EB1" w:rsidRPr="00BA42AA" w:rsidTr="00C87EB1">
        <w:trPr>
          <w:trHeight w:val="250"/>
        </w:trPr>
        <w:tc>
          <w:tcPr>
            <w:tcW w:w="1135" w:type="dxa"/>
            <w:shd w:val="clear" w:color="auto" w:fill="auto"/>
          </w:tcPr>
          <w:p w:rsidR="00C87EB1" w:rsidRPr="00BC7992" w:rsidRDefault="00C87EB1" w:rsidP="00885C12">
            <w:pPr>
              <w:pStyle w:val="ListParagraph"/>
              <w:numPr>
                <w:ilvl w:val="2"/>
                <w:numId w:val="5"/>
              </w:numPr>
              <w:ind w:left="505" w:hanging="505"/>
              <w:rPr>
                <w:rFonts w:ascii="Arial" w:hAnsi="Arial" w:cs="Arial"/>
              </w:rPr>
            </w:pPr>
          </w:p>
        </w:tc>
        <w:tc>
          <w:tcPr>
            <w:tcW w:w="9011" w:type="dxa"/>
            <w:shd w:val="clear" w:color="auto" w:fill="auto"/>
          </w:tcPr>
          <w:p w:rsidR="00DF05AC" w:rsidRDefault="00C87EB1" w:rsidP="00C87EB1">
            <w:pPr>
              <w:rPr>
                <w:rFonts w:ascii="Arial" w:hAnsi="Arial" w:cs="Arial"/>
              </w:rPr>
            </w:pPr>
            <w:r w:rsidRPr="00C87EB1">
              <w:rPr>
                <w:rFonts w:ascii="Arial" w:hAnsi="Arial" w:cs="Arial"/>
              </w:rPr>
              <w:t>Feedback is a comment about a service where a customer is expressing a view about the service.</w:t>
            </w:r>
          </w:p>
          <w:p w:rsidR="00DF05AC" w:rsidRDefault="00DF05AC" w:rsidP="00C87EB1">
            <w:pPr>
              <w:rPr>
                <w:rFonts w:ascii="Arial" w:hAnsi="Arial" w:cs="Arial"/>
              </w:rPr>
            </w:pPr>
          </w:p>
          <w:p w:rsidR="00DF05AC" w:rsidRDefault="00DF05AC" w:rsidP="00C87EB1">
            <w:pPr>
              <w:rPr>
                <w:rFonts w:ascii="Arial" w:hAnsi="Arial" w:cs="Arial"/>
              </w:rPr>
            </w:pPr>
            <w:r>
              <w:rPr>
                <w:rFonts w:ascii="Arial" w:hAnsi="Arial" w:cs="Arial"/>
              </w:rPr>
              <w:t>A compliment is feedback where a customer independently contacts us to express satisfaction with a service or individual</w:t>
            </w:r>
          </w:p>
          <w:p w:rsidR="00DF05AC" w:rsidRPr="00C87EB1" w:rsidRDefault="00DF05AC" w:rsidP="00C87EB1">
            <w:pPr>
              <w:rPr>
                <w:rFonts w:ascii="Arial" w:hAnsi="Arial" w:cs="Arial"/>
              </w:rPr>
            </w:pP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505" w:hanging="505"/>
              <w:rPr>
                <w:rFonts w:ascii="Arial" w:hAnsi="Arial" w:cs="Arial"/>
              </w:rPr>
            </w:pPr>
          </w:p>
        </w:tc>
        <w:tc>
          <w:tcPr>
            <w:tcW w:w="9011" w:type="dxa"/>
            <w:shd w:val="clear" w:color="auto" w:fill="auto"/>
          </w:tcPr>
          <w:p w:rsidR="00C87EB1" w:rsidRPr="00C87EB1" w:rsidRDefault="00C87EB1" w:rsidP="00C87EB1">
            <w:pPr>
              <w:rPr>
                <w:rFonts w:ascii="Arial" w:hAnsi="Arial" w:cs="Arial"/>
              </w:rPr>
            </w:pPr>
          </w:p>
        </w:tc>
      </w:tr>
      <w:tr w:rsidR="00C87EB1" w:rsidRPr="00BA42AA" w:rsidTr="00C87EB1">
        <w:trPr>
          <w:trHeight w:val="250"/>
        </w:trPr>
        <w:tc>
          <w:tcPr>
            <w:tcW w:w="1135" w:type="dxa"/>
            <w:shd w:val="clear" w:color="auto" w:fill="auto"/>
          </w:tcPr>
          <w:p w:rsidR="00C87EB1" w:rsidRPr="00BC7992" w:rsidRDefault="00C87EB1" w:rsidP="00885C12">
            <w:pPr>
              <w:pStyle w:val="ListParagraph"/>
              <w:numPr>
                <w:ilvl w:val="2"/>
                <w:numId w:val="5"/>
              </w:numPr>
              <w:ind w:left="505" w:hanging="505"/>
              <w:rPr>
                <w:rFonts w:ascii="Arial" w:hAnsi="Arial" w:cs="Arial"/>
              </w:rPr>
            </w:pPr>
          </w:p>
        </w:tc>
        <w:tc>
          <w:tcPr>
            <w:tcW w:w="9011" w:type="dxa"/>
            <w:shd w:val="clear" w:color="auto" w:fill="auto"/>
          </w:tcPr>
          <w:p w:rsidR="00C87EB1" w:rsidRPr="00C87EB1" w:rsidRDefault="00C87EB1" w:rsidP="00DF05AC">
            <w:pPr>
              <w:rPr>
                <w:rFonts w:ascii="Arial" w:hAnsi="Arial" w:cs="Arial"/>
              </w:rPr>
            </w:pPr>
            <w:r w:rsidRPr="00C87EB1">
              <w:rPr>
                <w:rFonts w:ascii="Arial" w:hAnsi="Arial" w:cs="Arial"/>
              </w:rPr>
              <w:t xml:space="preserve">A complaint is feedback where a customer is expressing dissatisfaction with a service </w:t>
            </w:r>
            <w:r w:rsidR="00DF05AC">
              <w:rPr>
                <w:rFonts w:ascii="Arial" w:hAnsi="Arial" w:cs="Arial"/>
              </w:rPr>
              <w:t>or individual</w:t>
            </w:r>
            <w:r w:rsidRPr="00C87EB1">
              <w:rPr>
                <w:rFonts w:ascii="Arial" w:hAnsi="Arial" w:cs="Arial"/>
              </w:rPr>
              <w:t>.</w:t>
            </w: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505" w:hanging="505"/>
              <w:rPr>
                <w:rFonts w:ascii="Arial" w:hAnsi="Arial" w:cs="Arial"/>
              </w:rPr>
            </w:pPr>
          </w:p>
        </w:tc>
        <w:tc>
          <w:tcPr>
            <w:tcW w:w="9011" w:type="dxa"/>
            <w:shd w:val="clear" w:color="auto" w:fill="auto"/>
          </w:tcPr>
          <w:p w:rsidR="00C87EB1" w:rsidRPr="00C87EB1" w:rsidRDefault="00C87EB1" w:rsidP="00C87EB1">
            <w:pPr>
              <w:rPr>
                <w:rFonts w:ascii="Arial" w:hAnsi="Arial" w:cs="Arial"/>
              </w:rPr>
            </w:pPr>
          </w:p>
        </w:tc>
      </w:tr>
      <w:tr w:rsidR="00616484" w:rsidRPr="00BA42AA" w:rsidTr="00C87EB1">
        <w:trPr>
          <w:trHeight w:val="250"/>
        </w:trPr>
        <w:tc>
          <w:tcPr>
            <w:tcW w:w="1135" w:type="dxa"/>
            <w:shd w:val="clear" w:color="auto" w:fill="auto"/>
          </w:tcPr>
          <w:p w:rsidR="00616484" w:rsidRPr="00BC7992" w:rsidRDefault="00616484" w:rsidP="00885C12">
            <w:pPr>
              <w:pStyle w:val="ListParagraph"/>
              <w:numPr>
                <w:ilvl w:val="2"/>
                <w:numId w:val="5"/>
              </w:numPr>
              <w:ind w:left="505" w:hanging="505"/>
              <w:rPr>
                <w:rFonts w:ascii="Arial" w:hAnsi="Arial" w:cs="Arial"/>
              </w:rPr>
            </w:pPr>
          </w:p>
        </w:tc>
        <w:tc>
          <w:tcPr>
            <w:tcW w:w="9011" w:type="dxa"/>
            <w:shd w:val="clear" w:color="auto" w:fill="auto"/>
          </w:tcPr>
          <w:p w:rsidR="00C87EB1" w:rsidRPr="00C87EB1" w:rsidRDefault="00C87EB1" w:rsidP="00C87EB1">
            <w:pPr>
              <w:rPr>
                <w:rFonts w:ascii="Arial" w:hAnsi="Arial" w:cs="Arial"/>
              </w:rPr>
            </w:pPr>
            <w:r w:rsidRPr="00C87EB1">
              <w:rPr>
                <w:rFonts w:ascii="Arial" w:hAnsi="Arial" w:cs="Arial"/>
              </w:rPr>
              <w:t xml:space="preserve">Areas where individuals may express dissatisfaction which may not be regarded as complaints could relate to: </w:t>
            </w:r>
          </w:p>
          <w:p w:rsidR="00C87EB1" w:rsidRPr="00C87EB1" w:rsidRDefault="00C87EB1" w:rsidP="00C87EB1">
            <w:pPr>
              <w:ind w:left="720"/>
              <w:rPr>
                <w:rFonts w:ascii="Arial" w:hAnsi="Arial" w:cs="Arial"/>
              </w:rPr>
            </w:pPr>
          </w:p>
          <w:p w:rsidR="00C87EB1" w:rsidRPr="00C87EB1" w:rsidRDefault="00C87EB1" w:rsidP="00885C12">
            <w:pPr>
              <w:pStyle w:val="ListParagraph"/>
              <w:numPr>
                <w:ilvl w:val="0"/>
                <w:numId w:val="6"/>
              </w:numPr>
              <w:rPr>
                <w:rFonts w:ascii="Arial" w:hAnsi="Arial" w:cs="Arial"/>
              </w:rPr>
            </w:pPr>
            <w:r w:rsidRPr="00C87EB1">
              <w:rPr>
                <w:rFonts w:ascii="Arial" w:hAnsi="Arial" w:cs="Arial"/>
              </w:rPr>
              <w:t>the general law (unless wrongly applied)</w:t>
            </w:r>
          </w:p>
          <w:p w:rsidR="00C87EB1" w:rsidRPr="00C87EB1" w:rsidRDefault="00C87EB1" w:rsidP="00885C12">
            <w:pPr>
              <w:pStyle w:val="ListParagraph"/>
              <w:numPr>
                <w:ilvl w:val="0"/>
                <w:numId w:val="6"/>
              </w:numPr>
              <w:rPr>
                <w:rFonts w:ascii="Arial" w:hAnsi="Arial" w:cs="Arial"/>
              </w:rPr>
            </w:pPr>
            <w:r w:rsidRPr="00C87EB1">
              <w:rPr>
                <w:rFonts w:ascii="Arial" w:hAnsi="Arial" w:cs="Arial"/>
              </w:rPr>
              <w:lastRenderedPageBreak/>
              <w:t xml:space="preserve">persons or bodies over which we have no control </w:t>
            </w:r>
          </w:p>
          <w:p w:rsidR="00C87EB1" w:rsidRPr="00C87EB1" w:rsidRDefault="00C87EB1" w:rsidP="00885C12">
            <w:pPr>
              <w:pStyle w:val="ListParagraph"/>
              <w:numPr>
                <w:ilvl w:val="0"/>
                <w:numId w:val="6"/>
              </w:numPr>
              <w:rPr>
                <w:rFonts w:ascii="Arial" w:hAnsi="Arial" w:cs="Arial"/>
              </w:rPr>
            </w:pPr>
            <w:r w:rsidRPr="00C87EB1">
              <w:rPr>
                <w:rFonts w:ascii="Arial" w:hAnsi="Arial" w:cs="Arial"/>
              </w:rPr>
              <w:t>our overall policies (unless wrongly applied)</w:t>
            </w:r>
          </w:p>
          <w:p w:rsidR="00C87EB1" w:rsidRPr="00C87EB1" w:rsidRDefault="00C87EB1" w:rsidP="00885C12">
            <w:pPr>
              <w:pStyle w:val="ListParagraph"/>
              <w:numPr>
                <w:ilvl w:val="0"/>
                <w:numId w:val="6"/>
              </w:numPr>
              <w:rPr>
                <w:rFonts w:ascii="Arial" w:hAnsi="Arial" w:cs="Arial"/>
              </w:rPr>
            </w:pPr>
            <w:r w:rsidRPr="00C87EB1">
              <w:rPr>
                <w:rFonts w:ascii="Arial" w:hAnsi="Arial" w:cs="Arial"/>
              </w:rPr>
              <w:t>the level of rent that is being charged (unless wrongly applied)</w:t>
            </w:r>
          </w:p>
          <w:p w:rsidR="00616484" w:rsidRPr="00C87EB1" w:rsidRDefault="00C87EB1" w:rsidP="00885C12">
            <w:pPr>
              <w:pStyle w:val="ListParagraph"/>
              <w:numPr>
                <w:ilvl w:val="0"/>
                <w:numId w:val="6"/>
              </w:numPr>
              <w:rPr>
                <w:rFonts w:ascii="Arial" w:hAnsi="Arial" w:cs="Arial"/>
              </w:rPr>
            </w:pPr>
            <w:r w:rsidRPr="00C87EB1">
              <w:rPr>
                <w:rFonts w:ascii="Arial" w:hAnsi="Arial" w:cs="Arial"/>
              </w:rPr>
              <w:t>matters which are, or could reasonably be expected to be, the subject of court or tribunal proceedings, or which are in the hands of our insurers</w:t>
            </w:r>
          </w:p>
        </w:tc>
      </w:tr>
      <w:tr w:rsidR="00616484" w:rsidRPr="00BA42AA" w:rsidTr="00C87EB1">
        <w:trPr>
          <w:trHeight w:val="250"/>
        </w:trPr>
        <w:tc>
          <w:tcPr>
            <w:tcW w:w="1135" w:type="dxa"/>
            <w:shd w:val="clear" w:color="auto" w:fill="auto"/>
          </w:tcPr>
          <w:p w:rsidR="00616484" w:rsidRPr="00BC7992" w:rsidRDefault="00616484" w:rsidP="00B8298D">
            <w:pPr>
              <w:pStyle w:val="ListParagraph"/>
              <w:ind w:left="360" w:hanging="792"/>
              <w:rPr>
                <w:rFonts w:ascii="Arial" w:hAnsi="Arial" w:cs="Arial"/>
              </w:rPr>
            </w:pPr>
          </w:p>
        </w:tc>
        <w:tc>
          <w:tcPr>
            <w:tcW w:w="9011" w:type="dxa"/>
            <w:shd w:val="clear" w:color="auto" w:fill="auto"/>
          </w:tcPr>
          <w:p w:rsidR="00616484" w:rsidRPr="00C87EB1" w:rsidRDefault="00616484" w:rsidP="00616484">
            <w:pPr>
              <w:rPr>
                <w:rFonts w:ascii="Arial" w:hAnsi="Arial" w:cs="Arial"/>
              </w:rPr>
            </w:pPr>
          </w:p>
        </w:tc>
      </w:tr>
      <w:tr w:rsidR="00616484" w:rsidRPr="00BA42AA" w:rsidTr="00C87EB1">
        <w:trPr>
          <w:trHeight w:val="250"/>
        </w:trPr>
        <w:tc>
          <w:tcPr>
            <w:tcW w:w="1135" w:type="dxa"/>
            <w:shd w:val="clear" w:color="auto" w:fill="auto"/>
          </w:tcPr>
          <w:p w:rsidR="00616484" w:rsidRPr="00BC7992" w:rsidRDefault="00616484" w:rsidP="00885C12">
            <w:pPr>
              <w:pStyle w:val="ListParagraph"/>
              <w:numPr>
                <w:ilvl w:val="2"/>
                <w:numId w:val="5"/>
              </w:numPr>
              <w:ind w:left="505" w:hanging="505"/>
              <w:rPr>
                <w:rFonts w:ascii="Arial" w:hAnsi="Arial" w:cs="Arial"/>
              </w:rPr>
            </w:pPr>
          </w:p>
        </w:tc>
        <w:tc>
          <w:tcPr>
            <w:tcW w:w="9011" w:type="dxa"/>
            <w:shd w:val="clear" w:color="auto" w:fill="auto"/>
          </w:tcPr>
          <w:p w:rsidR="00616484" w:rsidRDefault="00C87EB1" w:rsidP="00C87EB1">
            <w:pPr>
              <w:rPr>
                <w:rFonts w:ascii="Arial" w:hAnsi="Arial" w:cs="Arial"/>
              </w:rPr>
            </w:pPr>
            <w:r w:rsidRPr="00C87EB1">
              <w:rPr>
                <w:rFonts w:ascii="Arial" w:hAnsi="Arial" w:cs="Arial"/>
              </w:rPr>
              <w:t xml:space="preserve">We will not </w:t>
            </w:r>
            <w:r w:rsidR="00A91181">
              <w:rPr>
                <w:rFonts w:ascii="Arial" w:hAnsi="Arial" w:cs="Arial"/>
              </w:rPr>
              <w:t xml:space="preserve">normally </w:t>
            </w:r>
            <w:r w:rsidRPr="00C87EB1">
              <w:rPr>
                <w:rFonts w:ascii="Arial" w:hAnsi="Arial" w:cs="Arial"/>
              </w:rPr>
              <w:t>investigate any complaint</w:t>
            </w:r>
            <w:r w:rsidR="00A91181">
              <w:rPr>
                <w:rFonts w:ascii="Arial" w:hAnsi="Arial" w:cs="Arial"/>
              </w:rPr>
              <w:t>s</w:t>
            </w:r>
            <w:r w:rsidRPr="00C87EB1">
              <w:rPr>
                <w:rFonts w:ascii="Arial" w:hAnsi="Arial" w:cs="Arial"/>
              </w:rPr>
              <w:t xml:space="preserve"> </w:t>
            </w:r>
            <w:r w:rsidR="00A91181">
              <w:rPr>
                <w:rFonts w:ascii="Arial" w:hAnsi="Arial" w:cs="Arial"/>
              </w:rPr>
              <w:t xml:space="preserve">that arise more than </w:t>
            </w:r>
            <w:r w:rsidRPr="00C87EB1">
              <w:rPr>
                <w:rFonts w:ascii="Arial" w:hAnsi="Arial" w:cs="Arial"/>
              </w:rPr>
              <w:t xml:space="preserve">12 months </w:t>
            </w:r>
            <w:r w:rsidR="00A91181">
              <w:rPr>
                <w:rFonts w:ascii="Arial" w:hAnsi="Arial" w:cs="Arial"/>
              </w:rPr>
              <w:t xml:space="preserve">after </w:t>
            </w:r>
            <w:r w:rsidRPr="00C87EB1">
              <w:rPr>
                <w:rFonts w:ascii="Arial" w:hAnsi="Arial" w:cs="Arial"/>
              </w:rPr>
              <w:t>the complainant first being aware of the circumstances that gave rise to the complaint.</w:t>
            </w:r>
          </w:p>
          <w:p w:rsidR="00A91181" w:rsidRPr="00C87EB1" w:rsidRDefault="00A91181" w:rsidP="00C87EB1">
            <w:pPr>
              <w:rPr>
                <w:rFonts w:ascii="Arial" w:hAnsi="Arial" w:cs="Arial"/>
              </w:rPr>
            </w:pPr>
          </w:p>
        </w:tc>
      </w:tr>
      <w:tr w:rsidR="00616484" w:rsidRPr="00BA42AA" w:rsidTr="00C87EB1">
        <w:trPr>
          <w:trHeight w:val="250"/>
        </w:trPr>
        <w:tc>
          <w:tcPr>
            <w:tcW w:w="1135" w:type="dxa"/>
            <w:shd w:val="clear" w:color="auto" w:fill="auto"/>
          </w:tcPr>
          <w:p w:rsidR="00616484" w:rsidRPr="00BC7992" w:rsidRDefault="00616484" w:rsidP="00885C12">
            <w:pPr>
              <w:pStyle w:val="ListParagraph"/>
              <w:numPr>
                <w:ilvl w:val="2"/>
                <w:numId w:val="5"/>
              </w:numPr>
              <w:ind w:left="505" w:hanging="505"/>
              <w:rPr>
                <w:rFonts w:ascii="Arial" w:hAnsi="Arial" w:cs="Arial"/>
              </w:rPr>
            </w:pPr>
          </w:p>
        </w:tc>
        <w:tc>
          <w:tcPr>
            <w:tcW w:w="9011" w:type="dxa"/>
            <w:shd w:val="clear" w:color="auto" w:fill="auto"/>
          </w:tcPr>
          <w:p w:rsidR="00616484" w:rsidRPr="00C87EB1" w:rsidRDefault="00C87EB1" w:rsidP="00C87EB1">
            <w:pPr>
              <w:rPr>
                <w:rFonts w:ascii="Arial" w:hAnsi="Arial" w:cs="Arial"/>
                <w:i/>
              </w:rPr>
            </w:pPr>
            <w:r w:rsidRPr="00C87EB1">
              <w:rPr>
                <w:rFonts w:ascii="Arial" w:hAnsi="Arial" w:cs="Arial"/>
              </w:rPr>
              <w:t>Complaints and feedback may be received on official forms, by letter, fax, e-mail, telephone/text phone, website, personal visit or through any representative of the complainant.</w:t>
            </w:r>
          </w:p>
        </w:tc>
      </w:tr>
      <w:tr w:rsidR="00616484" w:rsidRPr="00BA42AA" w:rsidTr="00C87EB1">
        <w:trPr>
          <w:trHeight w:val="250"/>
        </w:trPr>
        <w:tc>
          <w:tcPr>
            <w:tcW w:w="1135" w:type="dxa"/>
            <w:shd w:val="clear" w:color="auto" w:fill="auto"/>
          </w:tcPr>
          <w:p w:rsidR="00616484" w:rsidRPr="00BC7992" w:rsidRDefault="00616484" w:rsidP="00B8298D">
            <w:pPr>
              <w:pStyle w:val="ListParagraph"/>
              <w:ind w:left="360" w:hanging="747"/>
              <w:rPr>
                <w:rFonts w:ascii="Arial" w:hAnsi="Arial" w:cs="Arial"/>
              </w:rPr>
            </w:pPr>
          </w:p>
        </w:tc>
        <w:tc>
          <w:tcPr>
            <w:tcW w:w="9011" w:type="dxa"/>
            <w:shd w:val="clear" w:color="auto" w:fill="auto"/>
          </w:tcPr>
          <w:p w:rsidR="00616484" w:rsidRPr="00C87EB1" w:rsidRDefault="00616484" w:rsidP="00616484">
            <w:pPr>
              <w:rPr>
                <w:rFonts w:ascii="Arial" w:hAnsi="Arial" w:cs="Arial"/>
              </w:rPr>
            </w:pPr>
          </w:p>
        </w:tc>
      </w:tr>
      <w:tr w:rsidR="00616484" w:rsidRPr="00BA42AA" w:rsidTr="00C87EB1">
        <w:trPr>
          <w:trHeight w:val="250"/>
        </w:trPr>
        <w:tc>
          <w:tcPr>
            <w:tcW w:w="1135" w:type="dxa"/>
            <w:shd w:val="clear" w:color="auto" w:fill="auto"/>
          </w:tcPr>
          <w:p w:rsidR="00616484" w:rsidRPr="00BC7992" w:rsidRDefault="00616484" w:rsidP="00885C12">
            <w:pPr>
              <w:pStyle w:val="ListParagraph"/>
              <w:numPr>
                <w:ilvl w:val="1"/>
                <w:numId w:val="5"/>
              </w:numPr>
              <w:ind w:hanging="747"/>
              <w:rPr>
                <w:rFonts w:ascii="Arial" w:hAnsi="Arial" w:cs="Arial"/>
              </w:rPr>
            </w:pPr>
          </w:p>
        </w:tc>
        <w:tc>
          <w:tcPr>
            <w:tcW w:w="9011" w:type="dxa"/>
            <w:shd w:val="clear" w:color="auto" w:fill="auto"/>
          </w:tcPr>
          <w:p w:rsidR="00616484" w:rsidRPr="00C87EB1" w:rsidRDefault="00C87EB1" w:rsidP="00616484">
            <w:pPr>
              <w:rPr>
                <w:rFonts w:ascii="Arial" w:hAnsi="Arial" w:cs="Arial"/>
              </w:rPr>
            </w:pPr>
            <w:r>
              <w:rPr>
                <w:rFonts w:ascii="Arial" w:hAnsi="Arial" w:cs="Arial"/>
                <w:b/>
              </w:rPr>
              <w:t>Complaints H</w:t>
            </w:r>
            <w:r w:rsidRPr="00C87EB1">
              <w:rPr>
                <w:rFonts w:ascii="Arial" w:hAnsi="Arial" w:cs="Arial"/>
                <w:b/>
              </w:rPr>
              <w:t>andling</w:t>
            </w:r>
          </w:p>
        </w:tc>
      </w:tr>
      <w:tr w:rsidR="00616484" w:rsidRPr="00BA42AA" w:rsidTr="00C87EB1">
        <w:trPr>
          <w:trHeight w:val="250"/>
        </w:trPr>
        <w:tc>
          <w:tcPr>
            <w:tcW w:w="1135" w:type="dxa"/>
            <w:shd w:val="clear" w:color="auto" w:fill="auto"/>
          </w:tcPr>
          <w:p w:rsidR="00616484" w:rsidRPr="00BC7992" w:rsidRDefault="00616484" w:rsidP="00B8298D">
            <w:pPr>
              <w:pStyle w:val="ListParagraph"/>
              <w:ind w:left="360" w:hanging="747"/>
              <w:rPr>
                <w:rFonts w:ascii="Arial" w:hAnsi="Arial" w:cs="Arial"/>
              </w:rPr>
            </w:pPr>
          </w:p>
        </w:tc>
        <w:tc>
          <w:tcPr>
            <w:tcW w:w="9011" w:type="dxa"/>
            <w:shd w:val="clear" w:color="auto" w:fill="auto"/>
          </w:tcPr>
          <w:p w:rsidR="00616484" w:rsidRPr="00C87EB1" w:rsidRDefault="00616484" w:rsidP="00616484">
            <w:pPr>
              <w:rPr>
                <w:rFonts w:ascii="Arial" w:hAnsi="Arial" w:cs="Arial"/>
              </w:rPr>
            </w:pPr>
          </w:p>
        </w:tc>
      </w:tr>
      <w:tr w:rsidR="00616484" w:rsidRPr="00BA42AA" w:rsidTr="00C87EB1">
        <w:trPr>
          <w:trHeight w:val="250"/>
        </w:trPr>
        <w:tc>
          <w:tcPr>
            <w:tcW w:w="1135" w:type="dxa"/>
            <w:shd w:val="clear" w:color="auto" w:fill="auto"/>
          </w:tcPr>
          <w:p w:rsidR="00616484" w:rsidRPr="00034D99" w:rsidRDefault="00616484" w:rsidP="00885C12">
            <w:pPr>
              <w:pStyle w:val="ListParagraph"/>
              <w:numPr>
                <w:ilvl w:val="2"/>
                <w:numId w:val="5"/>
              </w:numPr>
              <w:ind w:left="505" w:hanging="505"/>
              <w:rPr>
                <w:rFonts w:ascii="Arial" w:hAnsi="Arial" w:cs="Arial"/>
              </w:rPr>
            </w:pPr>
          </w:p>
        </w:tc>
        <w:tc>
          <w:tcPr>
            <w:tcW w:w="9011" w:type="dxa"/>
            <w:shd w:val="clear" w:color="auto" w:fill="auto"/>
          </w:tcPr>
          <w:p w:rsidR="00616484" w:rsidRPr="00034D99" w:rsidRDefault="00F93AF2" w:rsidP="008B340B">
            <w:pPr>
              <w:tabs>
                <w:tab w:val="left" w:pos="0"/>
                <w:tab w:val="left" w:pos="720"/>
              </w:tabs>
              <w:rPr>
                <w:rFonts w:ascii="Arial" w:hAnsi="Arial" w:cs="Arial"/>
              </w:rPr>
            </w:pPr>
            <w:r w:rsidRPr="00034D99">
              <w:rPr>
                <w:rFonts w:ascii="Arial" w:hAnsi="Arial" w:cs="Arial"/>
              </w:rPr>
              <w:t xml:space="preserve">We aim to </w:t>
            </w:r>
            <w:r w:rsidR="008B340B">
              <w:rPr>
                <w:rFonts w:ascii="Arial" w:hAnsi="Arial" w:cs="Arial"/>
              </w:rPr>
              <w:t>investigate</w:t>
            </w:r>
            <w:r w:rsidRPr="00034D99">
              <w:rPr>
                <w:rFonts w:ascii="Arial" w:hAnsi="Arial" w:cs="Arial"/>
              </w:rPr>
              <w:t xml:space="preserve"> complaints quickly, effect</w:t>
            </w:r>
            <w:r w:rsidR="008B340B">
              <w:rPr>
                <w:rFonts w:ascii="Arial" w:hAnsi="Arial" w:cs="Arial"/>
              </w:rPr>
              <w:t xml:space="preserve">ively, and, where possible, to </w:t>
            </w:r>
            <w:r w:rsidRPr="00034D99">
              <w:rPr>
                <w:rFonts w:ascii="Arial" w:hAnsi="Arial" w:cs="Arial"/>
              </w:rPr>
              <w:t>the customer’s satisfaction.  A procedure has been devised separately to</w:t>
            </w:r>
            <w:r w:rsidR="00C87EB1" w:rsidRPr="00034D99">
              <w:rPr>
                <w:rFonts w:ascii="Arial" w:hAnsi="Arial" w:cs="Arial"/>
              </w:rPr>
              <w:t xml:space="preserve"> </w:t>
            </w:r>
            <w:r w:rsidRPr="00034D99">
              <w:rPr>
                <w:rFonts w:ascii="Arial" w:hAnsi="Arial" w:cs="Arial"/>
              </w:rPr>
              <w:t xml:space="preserve">achieve this. </w:t>
            </w:r>
          </w:p>
        </w:tc>
      </w:tr>
      <w:tr w:rsidR="00616484" w:rsidRPr="00BA42AA" w:rsidTr="00C87EB1">
        <w:trPr>
          <w:trHeight w:val="250"/>
        </w:trPr>
        <w:tc>
          <w:tcPr>
            <w:tcW w:w="1135" w:type="dxa"/>
            <w:shd w:val="clear" w:color="auto" w:fill="auto"/>
          </w:tcPr>
          <w:p w:rsidR="00616484" w:rsidRPr="00034D99" w:rsidRDefault="00616484" w:rsidP="00C87EB1">
            <w:pPr>
              <w:pStyle w:val="ListParagraph"/>
              <w:ind w:left="505" w:hanging="505"/>
              <w:rPr>
                <w:rFonts w:ascii="Arial" w:hAnsi="Arial" w:cs="Arial"/>
              </w:rPr>
            </w:pPr>
          </w:p>
        </w:tc>
        <w:tc>
          <w:tcPr>
            <w:tcW w:w="9011" w:type="dxa"/>
            <w:shd w:val="clear" w:color="auto" w:fill="auto"/>
          </w:tcPr>
          <w:p w:rsidR="00616484" w:rsidRPr="00034D99" w:rsidRDefault="00616484" w:rsidP="00616484">
            <w:pPr>
              <w:rPr>
                <w:rFonts w:ascii="Arial" w:hAnsi="Arial" w:cs="Arial"/>
              </w:rPr>
            </w:pPr>
          </w:p>
        </w:tc>
      </w:tr>
      <w:tr w:rsidR="00616484" w:rsidRPr="00BA42AA" w:rsidTr="00C87EB1">
        <w:trPr>
          <w:trHeight w:val="250"/>
        </w:trPr>
        <w:tc>
          <w:tcPr>
            <w:tcW w:w="1135" w:type="dxa"/>
            <w:shd w:val="clear" w:color="auto" w:fill="auto"/>
          </w:tcPr>
          <w:p w:rsidR="00616484" w:rsidRPr="00034D99" w:rsidRDefault="00616484" w:rsidP="00885C12">
            <w:pPr>
              <w:pStyle w:val="ListParagraph"/>
              <w:numPr>
                <w:ilvl w:val="2"/>
                <w:numId w:val="5"/>
              </w:numPr>
              <w:ind w:left="505" w:hanging="505"/>
              <w:rPr>
                <w:rFonts w:ascii="Arial" w:hAnsi="Arial" w:cs="Arial"/>
              </w:rPr>
            </w:pPr>
          </w:p>
        </w:tc>
        <w:tc>
          <w:tcPr>
            <w:tcW w:w="9011" w:type="dxa"/>
            <w:shd w:val="clear" w:color="auto" w:fill="auto"/>
          </w:tcPr>
          <w:p w:rsidR="009C123B" w:rsidRPr="00034D99" w:rsidRDefault="00F93AF2" w:rsidP="009C123B">
            <w:pPr>
              <w:rPr>
                <w:rFonts w:ascii="Arial" w:hAnsi="Arial" w:cs="Arial"/>
              </w:rPr>
            </w:pPr>
            <w:r w:rsidRPr="00034D99">
              <w:rPr>
                <w:rFonts w:ascii="Arial" w:hAnsi="Arial" w:cs="Arial"/>
              </w:rPr>
              <w:t>This procedure allows for the recording and monitoring of all complaints</w:t>
            </w:r>
            <w:r w:rsidR="009C123B" w:rsidRPr="00034D99">
              <w:rPr>
                <w:rFonts w:ascii="Arial" w:hAnsi="Arial" w:cs="Arial"/>
              </w:rPr>
              <w:t>.</w:t>
            </w:r>
            <w:r w:rsidR="00DF05AC" w:rsidRPr="00034D99">
              <w:rPr>
                <w:rFonts w:ascii="Arial" w:hAnsi="Arial" w:cs="Arial"/>
              </w:rPr>
              <w:t xml:space="preserve"> </w:t>
            </w:r>
            <w:r w:rsidR="009C123B" w:rsidRPr="00034D99">
              <w:rPr>
                <w:rFonts w:ascii="Arial" w:hAnsi="Arial" w:cs="Arial"/>
              </w:rPr>
              <w:t xml:space="preserve"> </w:t>
            </w:r>
          </w:p>
          <w:p w:rsidR="009C123B" w:rsidRPr="00034D99" w:rsidRDefault="009C123B" w:rsidP="00DF05AC">
            <w:pPr>
              <w:rPr>
                <w:rFonts w:ascii="Arial" w:hAnsi="Arial" w:cs="Arial"/>
              </w:rPr>
            </w:pPr>
          </w:p>
        </w:tc>
      </w:tr>
      <w:tr w:rsidR="00616484" w:rsidRPr="00BA42AA" w:rsidTr="00C87EB1">
        <w:trPr>
          <w:trHeight w:val="250"/>
        </w:trPr>
        <w:tc>
          <w:tcPr>
            <w:tcW w:w="1135" w:type="dxa"/>
            <w:shd w:val="clear" w:color="auto" w:fill="auto"/>
          </w:tcPr>
          <w:p w:rsidR="00616484" w:rsidRPr="00034D99" w:rsidRDefault="00616484" w:rsidP="00C87EB1">
            <w:pPr>
              <w:pStyle w:val="ListParagraph"/>
              <w:ind w:left="505" w:hanging="505"/>
              <w:rPr>
                <w:rFonts w:ascii="Arial" w:hAnsi="Arial" w:cs="Arial"/>
              </w:rPr>
            </w:pPr>
          </w:p>
        </w:tc>
        <w:tc>
          <w:tcPr>
            <w:tcW w:w="9011" w:type="dxa"/>
            <w:shd w:val="clear" w:color="auto" w:fill="auto"/>
          </w:tcPr>
          <w:p w:rsidR="00616484" w:rsidRPr="00034D99" w:rsidRDefault="00616484" w:rsidP="00616484">
            <w:pPr>
              <w:rPr>
                <w:rFonts w:ascii="Arial" w:hAnsi="Arial" w:cs="Arial"/>
              </w:rPr>
            </w:pPr>
          </w:p>
        </w:tc>
      </w:tr>
      <w:tr w:rsidR="00BC7992" w:rsidRPr="00BA42AA" w:rsidTr="00C87EB1">
        <w:trPr>
          <w:trHeight w:val="250"/>
        </w:trPr>
        <w:tc>
          <w:tcPr>
            <w:tcW w:w="1135" w:type="dxa"/>
            <w:shd w:val="clear" w:color="auto" w:fill="auto"/>
          </w:tcPr>
          <w:p w:rsidR="00BC7992" w:rsidRPr="00034D99" w:rsidRDefault="00BC7992" w:rsidP="00885C12">
            <w:pPr>
              <w:pStyle w:val="ListParagraph"/>
              <w:numPr>
                <w:ilvl w:val="2"/>
                <w:numId w:val="5"/>
              </w:numPr>
              <w:ind w:left="505" w:hanging="505"/>
              <w:rPr>
                <w:rFonts w:ascii="Arial" w:hAnsi="Arial" w:cs="Arial"/>
              </w:rPr>
            </w:pPr>
          </w:p>
        </w:tc>
        <w:tc>
          <w:tcPr>
            <w:tcW w:w="9011" w:type="dxa"/>
            <w:shd w:val="clear" w:color="auto" w:fill="auto"/>
          </w:tcPr>
          <w:p w:rsidR="00BC7992" w:rsidRPr="00034D99" w:rsidRDefault="00F93AF2" w:rsidP="0026571C">
            <w:pPr>
              <w:ind w:left="33" w:hanging="33"/>
              <w:rPr>
                <w:rFonts w:ascii="Arial" w:hAnsi="Arial" w:cs="Arial"/>
              </w:rPr>
            </w:pPr>
            <w:r w:rsidRPr="00034D99">
              <w:rPr>
                <w:rFonts w:ascii="Arial" w:hAnsi="Arial" w:cs="Arial"/>
              </w:rPr>
              <w:t xml:space="preserve">At the conclusion of </w:t>
            </w:r>
            <w:r w:rsidR="00DF05AC" w:rsidRPr="00034D99">
              <w:rPr>
                <w:rFonts w:ascii="Arial" w:hAnsi="Arial" w:cs="Arial"/>
              </w:rPr>
              <w:t xml:space="preserve">the </w:t>
            </w:r>
            <w:r w:rsidR="0026571C">
              <w:rPr>
                <w:rFonts w:ascii="Arial" w:hAnsi="Arial" w:cs="Arial"/>
              </w:rPr>
              <w:t>Internal Review Stage</w:t>
            </w:r>
            <w:r w:rsidRPr="00034D99">
              <w:rPr>
                <w:rFonts w:ascii="Arial" w:hAnsi="Arial" w:cs="Arial"/>
              </w:rPr>
              <w:t xml:space="preserve">, the complainant is informed of their right to appeal to the </w:t>
            </w:r>
            <w:r w:rsidR="00DF05AC" w:rsidRPr="00034D99">
              <w:rPr>
                <w:rFonts w:ascii="Arial" w:hAnsi="Arial" w:cs="Arial"/>
              </w:rPr>
              <w:t xml:space="preserve">review panel </w:t>
            </w:r>
            <w:r w:rsidRPr="00034D99">
              <w:rPr>
                <w:rFonts w:ascii="Arial" w:hAnsi="Arial" w:cs="Arial"/>
              </w:rPr>
              <w:t>if they remain dissatisfied with the outcome.</w:t>
            </w:r>
          </w:p>
        </w:tc>
      </w:tr>
      <w:tr w:rsidR="00616484" w:rsidRPr="00BA42AA" w:rsidTr="00C87EB1">
        <w:trPr>
          <w:trHeight w:val="250"/>
        </w:trPr>
        <w:tc>
          <w:tcPr>
            <w:tcW w:w="1135" w:type="dxa"/>
            <w:shd w:val="clear" w:color="auto" w:fill="auto"/>
          </w:tcPr>
          <w:p w:rsidR="00616484" w:rsidRPr="00034D99" w:rsidRDefault="00616484" w:rsidP="00C87EB1">
            <w:pPr>
              <w:pStyle w:val="ListParagraph"/>
              <w:ind w:left="505" w:hanging="505"/>
              <w:rPr>
                <w:rFonts w:ascii="Arial" w:hAnsi="Arial" w:cs="Arial"/>
              </w:rPr>
            </w:pPr>
          </w:p>
        </w:tc>
        <w:tc>
          <w:tcPr>
            <w:tcW w:w="9011" w:type="dxa"/>
            <w:shd w:val="clear" w:color="auto" w:fill="auto"/>
          </w:tcPr>
          <w:p w:rsidR="00616484" w:rsidRPr="00034D99" w:rsidRDefault="00616484" w:rsidP="00BC7992">
            <w:pPr>
              <w:ind w:left="33" w:hanging="33"/>
              <w:rPr>
                <w:rFonts w:ascii="Arial" w:hAnsi="Arial" w:cs="Arial"/>
              </w:rPr>
            </w:pPr>
          </w:p>
        </w:tc>
      </w:tr>
      <w:tr w:rsidR="00BC7992" w:rsidRPr="00BA42AA" w:rsidTr="00C87EB1">
        <w:trPr>
          <w:trHeight w:val="250"/>
        </w:trPr>
        <w:tc>
          <w:tcPr>
            <w:tcW w:w="1135" w:type="dxa"/>
            <w:shd w:val="clear" w:color="auto" w:fill="auto"/>
          </w:tcPr>
          <w:p w:rsidR="00BC7992" w:rsidRPr="00034D99" w:rsidRDefault="00BC7992" w:rsidP="00885C12">
            <w:pPr>
              <w:pStyle w:val="ListParagraph"/>
              <w:numPr>
                <w:ilvl w:val="2"/>
                <w:numId w:val="5"/>
              </w:numPr>
              <w:ind w:left="505" w:hanging="505"/>
              <w:rPr>
                <w:rFonts w:ascii="Arial" w:hAnsi="Arial" w:cs="Arial"/>
              </w:rPr>
            </w:pPr>
          </w:p>
        </w:tc>
        <w:tc>
          <w:tcPr>
            <w:tcW w:w="9011" w:type="dxa"/>
            <w:shd w:val="clear" w:color="auto" w:fill="auto"/>
          </w:tcPr>
          <w:p w:rsidR="00BC7992" w:rsidRPr="00034D99" w:rsidRDefault="00F93AF2" w:rsidP="00DF05AC">
            <w:pPr>
              <w:rPr>
                <w:rFonts w:ascii="Arial" w:hAnsi="Arial" w:cs="Arial"/>
              </w:rPr>
            </w:pPr>
            <w:r w:rsidRPr="00034D99">
              <w:rPr>
                <w:rFonts w:ascii="Arial" w:hAnsi="Arial" w:cs="Arial"/>
              </w:rPr>
              <w:t xml:space="preserve">At any </w:t>
            </w:r>
            <w:r w:rsidR="00DF05AC" w:rsidRPr="00034D99">
              <w:rPr>
                <w:rFonts w:ascii="Arial" w:hAnsi="Arial" w:cs="Arial"/>
              </w:rPr>
              <w:t xml:space="preserve">point </w:t>
            </w:r>
            <w:r w:rsidRPr="00034D99">
              <w:rPr>
                <w:rFonts w:ascii="Arial" w:hAnsi="Arial" w:cs="Arial"/>
              </w:rPr>
              <w:t>in the process where we feel it appropriate, we may offer to refer the complaint to an independent mediator for resolution.</w:t>
            </w:r>
          </w:p>
        </w:tc>
      </w:tr>
      <w:tr w:rsidR="00616484" w:rsidRPr="00BA42AA" w:rsidTr="00C87EB1">
        <w:trPr>
          <w:trHeight w:val="250"/>
        </w:trPr>
        <w:tc>
          <w:tcPr>
            <w:tcW w:w="1135" w:type="dxa"/>
            <w:shd w:val="clear" w:color="auto" w:fill="auto"/>
          </w:tcPr>
          <w:p w:rsidR="00616484" w:rsidRPr="00034D99" w:rsidRDefault="00616484" w:rsidP="00C87EB1">
            <w:pPr>
              <w:pStyle w:val="ListParagraph"/>
              <w:ind w:left="505" w:hanging="505"/>
              <w:rPr>
                <w:rFonts w:ascii="Arial" w:hAnsi="Arial" w:cs="Arial"/>
              </w:rPr>
            </w:pPr>
          </w:p>
        </w:tc>
        <w:tc>
          <w:tcPr>
            <w:tcW w:w="9011" w:type="dxa"/>
            <w:shd w:val="clear" w:color="auto" w:fill="auto"/>
          </w:tcPr>
          <w:p w:rsidR="00616484" w:rsidRPr="00034D99" w:rsidRDefault="00616484" w:rsidP="00BC7992">
            <w:pPr>
              <w:ind w:left="33" w:hanging="33"/>
              <w:rPr>
                <w:rFonts w:ascii="Arial" w:hAnsi="Arial" w:cs="Arial"/>
              </w:rPr>
            </w:pPr>
          </w:p>
        </w:tc>
      </w:tr>
      <w:tr w:rsidR="00BC7992" w:rsidRPr="00BA42AA" w:rsidTr="00C87EB1">
        <w:trPr>
          <w:trHeight w:val="250"/>
        </w:trPr>
        <w:tc>
          <w:tcPr>
            <w:tcW w:w="1135" w:type="dxa"/>
            <w:shd w:val="clear" w:color="auto" w:fill="auto"/>
          </w:tcPr>
          <w:p w:rsidR="00BC7992" w:rsidRPr="00034D99" w:rsidRDefault="00BC7992" w:rsidP="00885C12">
            <w:pPr>
              <w:pStyle w:val="ListParagraph"/>
              <w:numPr>
                <w:ilvl w:val="2"/>
                <w:numId w:val="5"/>
              </w:numPr>
              <w:ind w:left="505" w:hanging="505"/>
              <w:rPr>
                <w:rFonts w:ascii="Arial" w:hAnsi="Arial" w:cs="Arial"/>
              </w:rPr>
            </w:pPr>
          </w:p>
        </w:tc>
        <w:tc>
          <w:tcPr>
            <w:tcW w:w="9011" w:type="dxa"/>
            <w:shd w:val="clear" w:color="auto" w:fill="auto"/>
          </w:tcPr>
          <w:p w:rsidR="009C123B" w:rsidRPr="00034D99" w:rsidRDefault="00F93AF2" w:rsidP="009C123B">
            <w:pPr>
              <w:ind w:left="33" w:hanging="33"/>
              <w:rPr>
                <w:rFonts w:ascii="Arial" w:hAnsi="Arial" w:cs="Arial"/>
              </w:rPr>
            </w:pPr>
            <w:r w:rsidRPr="00034D99">
              <w:rPr>
                <w:rFonts w:ascii="Arial" w:hAnsi="Arial" w:cs="Arial"/>
              </w:rPr>
              <w:t>We will make available a feedback leaflet setting out how customers can ensure that their concerns are dealt with.</w:t>
            </w:r>
          </w:p>
        </w:tc>
      </w:tr>
      <w:tr w:rsidR="00616484" w:rsidRPr="00BA42AA" w:rsidTr="00C87EB1">
        <w:trPr>
          <w:trHeight w:val="250"/>
        </w:trPr>
        <w:tc>
          <w:tcPr>
            <w:tcW w:w="1135" w:type="dxa"/>
            <w:shd w:val="clear" w:color="auto" w:fill="auto"/>
          </w:tcPr>
          <w:p w:rsidR="00616484" w:rsidRPr="00034D99" w:rsidRDefault="00616484" w:rsidP="00C87EB1">
            <w:pPr>
              <w:pStyle w:val="ListParagraph"/>
              <w:ind w:left="505" w:hanging="505"/>
              <w:rPr>
                <w:rFonts w:ascii="Arial" w:hAnsi="Arial" w:cs="Arial"/>
              </w:rPr>
            </w:pPr>
          </w:p>
        </w:tc>
        <w:tc>
          <w:tcPr>
            <w:tcW w:w="9011" w:type="dxa"/>
            <w:shd w:val="clear" w:color="auto" w:fill="auto"/>
          </w:tcPr>
          <w:p w:rsidR="00616484" w:rsidRPr="00034D99" w:rsidRDefault="00616484" w:rsidP="00BC7992">
            <w:pPr>
              <w:ind w:left="33" w:hanging="33"/>
              <w:rPr>
                <w:rFonts w:ascii="Arial" w:hAnsi="Arial" w:cs="Arial"/>
              </w:rPr>
            </w:pPr>
          </w:p>
        </w:tc>
      </w:tr>
      <w:tr w:rsidR="00BC7992" w:rsidRPr="00BA42AA" w:rsidTr="00C87EB1">
        <w:trPr>
          <w:trHeight w:val="250"/>
        </w:trPr>
        <w:tc>
          <w:tcPr>
            <w:tcW w:w="1135" w:type="dxa"/>
            <w:shd w:val="clear" w:color="auto" w:fill="auto"/>
          </w:tcPr>
          <w:p w:rsidR="00BC7992" w:rsidRPr="00034D99" w:rsidRDefault="00BC7992" w:rsidP="00885C12">
            <w:pPr>
              <w:pStyle w:val="ListParagraph"/>
              <w:numPr>
                <w:ilvl w:val="2"/>
                <w:numId w:val="5"/>
              </w:numPr>
              <w:ind w:left="505" w:hanging="505"/>
              <w:rPr>
                <w:rFonts w:ascii="Arial" w:hAnsi="Arial" w:cs="Arial"/>
              </w:rPr>
            </w:pPr>
          </w:p>
        </w:tc>
        <w:tc>
          <w:tcPr>
            <w:tcW w:w="9011" w:type="dxa"/>
            <w:shd w:val="clear" w:color="auto" w:fill="auto"/>
          </w:tcPr>
          <w:p w:rsidR="009C123B" w:rsidRPr="00034D99" w:rsidRDefault="00F93AF2" w:rsidP="009C123B">
            <w:pPr>
              <w:rPr>
                <w:rFonts w:ascii="Arial" w:hAnsi="Arial" w:cs="Arial"/>
              </w:rPr>
            </w:pPr>
            <w:r w:rsidRPr="00034D99">
              <w:rPr>
                <w:rFonts w:ascii="Arial" w:hAnsi="Arial" w:cs="Arial"/>
              </w:rPr>
              <w:t>We will not treat any service user who has made a complaint less favourably than any other service user.</w:t>
            </w:r>
          </w:p>
        </w:tc>
      </w:tr>
      <w:tr w:rsidR="00616484" w:rsidRPr="00BA42AA" w:rsidTr="00C87EB1">
        <w:trPr>
          <w:trHeight w:val="250"/>
        </w:trPr>
        <w:tc>
          <w:tcPr>
            <w:tcW w:w="1135" w:type="dxa"/>
            <w:shd w:val="clear" w:color="auto" w:fill="auto"/>
          </w:tcPr>
          <w:p w:rsidR="009C123B" w:rsidRPr="00034D99" w:rsidRDefault="009C123B" w:rsidP="00C87EB1">
            <w:pPr>
              <w:pStyle w:val="ListParagraph"/>
              <w:ind w:left="505" w:hanging="505"/>
              <w:rPr>
                <w:rFonts w:ascii="Arial" w:hAnsi="Arial" w:cs="Arial"/>
              </w:rPr>
            </w:pPr>
          </w:p>
          <w:p w:rsidR="00616484" w:rsidRPr="00034D99" w:rsidRDefault="009C123B" w:rsidP="00C87EB1">
            <w:pPr>
              <w:pStyle w:val="ListParagraph"/>
              <w:ind w:left="505" w:hanging="505"/>
              <w:rPr>
                <w:rFonts w:ascii="Arial" w:hAnsi="Arial" w:cs="Arial"/>
              </w:rPr>
            </w:pPr>
            <w:r w:rsidRPr="00034D99">
              <w:rPr>
                <w:rFonts w:ascii="Arial" w:hAnsi="Arial" w:cs="Arial"/>
              </w:rPr>
              <w:t>2.2.7</w:t>
            </w:r>
          </w:p>
        </w:tc>
        <w:tc>
          <w:tcPr>
            <w:tcW w:w="9011" w:type="dxa"/>
            <w:shd w:val="clear" w:color="auto" w:fill="auto"/>
          </w:tcPr>
          <w:p w:rsidR="00616484" w:rsidRPr="00034D99" w:rsidRDefault="00616484" w:rsidP="00BC7992">
            <w:pPr>
              <w:ind w:left="33" w:hanging="33"/>
              <w:rPr>
                <w:rFonts w:ascii="Arial" w:hAnsi="Arial" w:cs="Arial"/>
              </w:rPr>
            </w:pPr>
          </w:p>
          <w:p w:rsidR="003F523A" w:rsidRPr="00034D99" w:rsidRDefault="009C123B" w:rsidP="009C123B">
            <w:pPr>
              <w:rPr>
                <w:rFonts w:ascii="Arial" w:hAnsi="Arial" w:cs="Arial"/>
              </w:rPr>
            </w:pPr>
            <w:r w:rsidRPr="00034D99">
              <w:rPr>
                <w:rFonts w:ascii="Arial" w:hAnsi="Arial" w:cs="Arial"/>
              </w:rPr>
              <w:t xml:space="preserve">If a customer remains dissatisfied, after exhausting our process, </w:t>
            </w:r>
            <w:r w:rsidR="003F523A" w:rsidRPr="00034D99">
              <w:rPr>
                <w:rFonts w:ascii="Arial" w:hAnsi="Arial" w:cs="Arial"/>
              </w:rPr>
              <w:t>the following options are available:</w:t>
            </w:r>
            <w:r w:rsidR="00034D99" w:rsidRPr="00034D99">
              <w:rPr>
                <w:rFonts w:ascii="Arial" w:hAnsi="Arial" w:cs="Arial"/>
              </w:rPr>
              <w:br/>
            </w:r>
          </w:p>
          <w:p w:rsidR="009C123B" w:rsidRPr="00034D99" w:rsidRDefault="003F523A" w:rsidP="009C123B">
            <w:pPr>
              <w:rPr>
                <w:rFonts w:ascii="Arial" w:hAnsi="Arial" w:cs="Arial"/>
              </w:rPr>
            </w:pPr>
            <w:r w:rsidRPr="00034D99">
              <w:rPr>
                <w:rFonts w:ascii="Arial" w:hAnsi="Arial" w:cs="Arial"/>
                <w:b/>
              </w:rPr>
              <w:t>Housing</w:t>
            </w:r>
            <w:r w:rsidRPr="00034D99">
              <w:rPr>
                <w:rFonts w:ascii="Arial" w:hAnsi="Arial" w:cs="Arial"/>
              </w:rPr>
              <w:t xml:space="preserve"> </w:t>
            </w:r>
            <w:r w:rsidR="00EE51B1" w:rsidRPr="00034D99">
              <w:rPr>
                <w:rFonts w:ascii="Arial" w:hAnsi="Arial" w:cs="Arial"/>
              </w:rPr>
              <w:t>–</w:t>
            </w:r>
            <w:r w:rsidRPr="00034D99">
              <w:rPr>
                <w:rFonts w:ascii="Arial" w:hAnsi="Arial" w:cs="Arial"/>
              </w:rPr>
              <w:t xml:space="preserve"> </w:t>
            </w:r>
            <w:r w:rsidR="00A91181">
              <w:rPr>
                <w:rFonts w:ascii="Arial" w:hAnsi="Arial" w:cs="Arial"/>
              </w:rPr>
              <w:t>C</w:t>
            </w:r>
            <w:r w:rsidR="00EE51B1" w:rsidRPr="00034D99">
              <w:rPr>
                <w:rFonts w:ascii="Arial" w:hAnsi="Arial" w:cs="Arial"/>
              </w:rPr>
              <w:t>ustomers will be</w:t>
            </w:r>
            <w:r w:rsidR="009C123B" w:rsidRPr="00034D99">
              <w:rPr>
                <w:rFonts w:ascii="Arial" w:hAnsi="Arial" w:cs="Arial"/>
              </w:rPr>
              <w:t xml:space="preserve"> advised of their right to take their complaint to the designated person/panel.  Or, they can wait 8 weeks and go directly to the Housing Ombudsman. </w:t>
            </w:r>
            <w:r w:rsidR="00034D99" w:rsidRPr="00034D99">
              <w:rPr>
                <w:rFonts w:ascii="Arial" w:hAnsi="Arial" w:cs="Arial"/>
              </w:rPr>
              <w:br/>
            </w:r>
            <w:r w:rsidR="00034D99" w:rsidRPr="00034D99">
              <w:rPr>
                <w:rFonts w:ascii="Arial" w:hAnsi="Arial" w:cs="Arial"/>
                <w:b/>
              </w:rPr>
              <w:t>Contact Details</w:t>
            </w:r>
          </w:p>
          <w:p w:rsidR="00034D99" w:rsidRPr="00034D99" w:rsidRDefault="00034D99" w:rsidP="009C123B">
            <w:pPr>
              <w:rPr>
                <w:rFonts w:ascii="Arial" w:hAnsi="Arial" w:cs="Arial"/>
              </w:rPr>
            </w:pPr>
            <w:r>
              <w:rPr>
                <w:rFonts w:ascii="Arial" w:hAnsi="Arial" w:cs="Arial"/>
              </w:rPr>
              <w:t xml:space="preserve">Tel : </w:t>
            </w:r>
            <w:r w:rsidRPr="00034D99">
              <w:rPr>
                <w:rFonts w:ascii="Arial" w:hAnsi="Arial" w:cs="Arial"/>
              </w:rPr>
              <w:t>0300 111 3000</w:t>
            </w:r>
          </w:p>
          <w:p w:rsidR="00034D99" w:rsidRDefault="00034D99" w:rsidP="009C123B">
            <w:pPr>
              <w:rPr>
                <w:rFonts w:ascii="Arial" w:hAnsi="Arial" w:cs="Arial"/>
              </w:rPr>
            </w:pPr>
            <w:r>
              <w:rPr>
                <w:rFonts w:ascii="Arial" w:hAnsi="Arial" w:cs="Arial"/>
              </w:rPr>
              <w:t xml:space="preserve">Address : </w:t>
            </w:r>
            <w:r w:rsidRPr="00034D99">
              <w:rPr>
                <w:rFonts w:ascii="Arial" w:hAnsi="Arial" w:cs="Arial"/>
              </w:rPr>
              <w:t>Housing Ombudsman Service</w:t>
            </w:r>
            <w:r w:rsidRPr="00034D99">
              <w:rPr>
                <w:rFonts w:ascii="Arial" w:hAnsi="Arial" w:cs="Arial"/>
              </w:rPr>
              <w:br/>
              <w:t>81 Aldwych</w:t>
            </w:r>
            <w:r w:rsidRPr="00034D99">
              <w:rPr>
                <w:rFonts w:ascii="Arial" w:hAnsi="Arial" w:cs="Arial"/>
              </w:rPr>
              <w:br/>
              <w:t>London</w:t>
            </w:r>
            <w:r w:rsidRPr="00034D99">
              <w:rPr>
                <w:rFonts w:ascii="Arial" w:hAnsi="Arial" w:cs="Arial"/>
              </w:rPr>
              <w:br/>
              <w:t>WC2B 4HN</w:t>
            </w:r>
            <w:r w:rsidRPr="00034D99">
              <w:rPr>
                <w:rFonts w:ascii="Arial" w:hAnsi="Arial" w:cs="Arial"/>
              </w:rPr>
              <w:br/>
              <w:t>Fax : 020 7831 1942</w:t>
            </w:r>
          </w:p>
          <w:p w:rsidR="00034D99" w:rsidRPr="00034D99" w:rsidRDefault="00034D99" w:rsidP="009C123B">
            <w:pPr>
              <w:rPr>
                <w:rFonts w:ascii="Arial" w:hAnsi="Arial" w:cs="Arial"/>
              </w:rPr>
            </w:pPr>
            <w:r>
              <w:rPr>
                <w:rFonts w:ascii="Arial" w:hAnsi="Arial" w:cs="Arial"/>
              </w:rPr>
              <w:t xml:space="preserve">Email : </w:t>
            </w:r>
            <w:hyperlink r:id="rId8" w:history="1">
              <w:r w:rsidRPr="00034D99">
                <w:rPr>
                  <w:rStyle w:val="Hyperlink"/>
                  <w:rFonts w:ascii="Arial" w:hAnsi="Arial" w:cs="Arial"/>
                </w:rPr>
                <w:t>info@housing-ombudsman.org.uk</w:t>
              </w:r>
            </w:hyperlink>
            <w:r w:rsidRPr="00034D99">
              <w:rPr>
                <w:rFonts w:ascii="Arial" w:hAnsi="Arial" w:cs="Arial"/>
                <w:color w:val="666666"/>
              </w:rPr>
              <w:br/>
            </w:r>
          </w:p>
          <w:p w:rsidR="009C123B" w:rsidRPr="00034D99" w:rsidRDefault="00EE51B1" w:rsidP="009C123B">
            <w:pPr>
              <w:rPr>
                <w:rFonts w:ascii="Arial" w:hAnsi="Arial" w:cs="Arial"/>
              </w:rPr>
            </w:pPr>
            <w:r w:rsidRPr="00034D99">
              <w:rPr>
                <w:rFonts w:ascii="Arial" w:hAnsi="Arial" w:cs="Arial"/>
                <w:b/>
              </w:rPr>
              <w:t>Home Care</w:t>
            </w:r>
            <w:r w:rsidRPr="00034D99">
              <w:rPr>
                <w:rFonts w:ascii="Arial" w:hAnsi="Arial" w:cs="Arial"/>
              </w:rPr>
              <w:t xml:space="preserve"> - </w:t>
            </w:r>
            <w:r w:rsidR="009C123B" w:rsidRPr="00034D99">
              <w:rPr>
                <w:rFonts w:ascii="Arial" w:hAnsi="Arial" w:cs="Arial"/>
              </w:rPr>
              <w:t xml:space="preserve">Customers will be advised of their right to take their complaint to the </w:t>
            </w:r>
            <w:r w:rsidR="009C123B" w:rsidRPr="00034D99">
              <w:rPr>
                <w:rFonts w:ascii="Arial" w:hAnsi="Arial" w:cs="Arial"/>
              </w:rPr>
              <w:lastRenderedPageBreak/>
              <w:t xml:space="preserve">Local Government Ombudsman. </w:t>
            </w:r>
          </w:p>
          <w:p w:rsidR="00034D99" w:rsidRPr="00034D99" w:rsidRDefault="00034D99" w:rsidP="009C123B">
            <w:pPr>
              <w:rPr>
                <w:rFonts w:ascii="Arial" w:hAnsi="Arial" w:cs="Arial"/>
                <w:b/>
              </w:rPr>
            </w:pPr>
            <w:r w:rsidRPr="00034D99">
              <w:rPr>
                <w:rFonts w:ascii="Arial" w:hAnsi="Arial" w:cs="Arial"/>
                <w:b/>
              </w:rPr>
              <w:t>Contact Details</w:t>
            </w:r>
          </w:p>
          <w:p w:rsidR="00034D99" w:rsidRPr="00034D99" w:rsidRDefault="00034D99" w:rsidP="00034D99">
            <w:pPr>
              <w:rPr>
                <w:rFonts w:ascii="Arial" w:hAnsi="Arial" w:cs="Arial"/>
                <w:lang w:val="en"/>
              </w:rPr>
            </w:pPr>
            <w:r>
              <w:rPr>
                <w:rStyle w:val="Strong"/>
                <w:rFonts w:ascii="Arial" w:hAnsi="Arial" w:cs="Arial"/>
                <w:b w:val="0"/>
                <w:lang w:val="en"/>
              </w:rPr>
              <w:t xml:space="preserve">Tel : </w:t>
            </w:r>
            <w:r w:rsidRPr="00034D99">
              <w:rPr>
                <w:rStyle w:val="Strong"/>
                <w:rFonts w:ascii="Arial" w:hAnsi="Arial" w:cs="Arial"/>
                <w:b w:val="0"/>
                <w:lang w:val="en"/>
              </w:rPr>
              <w:t>0300 061 0614</w:t>
            </w:r>
            <w:r w:rsidRPr="00034D99">
              <w:rPr>
                <w:rStyle w:val="Strong"/>
                <w:rFonts w:ascii="Arial" w:hAnsi="Arial" w:cs="Arial"/>
                <w:lang w:val="en"/>
              </w:rPr>
              <w:br/>
            </w:r>
            <w:r>
              <w:rPr>
                <w:rStyle w:val="Strong"/>
                <w:rFonts w:ascii="Arial" w:hAnsi="Arial" w:cs="Arial"/>
                <w:b w:val="0"/>
                <w:lang w:val="en"/>
              </w:rPr>
              <w:t xml:space="preserve">Address : </w:t>
            </w:r>
            <w:r w:rsidRPr="00034D99">
              <w:rPr>
                <w:rStyle w:val="Strong"/>
                <w:rFonts w:ascii="Arial" w:hAnsi="Arial" w:cs="Arial"/>
                <w:b w:val="0"/>
                <w:lang w:val="en"/>
              </w:rPr>
              <w:t>The Local Government Ombudsman</w:t>
            </w:r>
            <w:r w:rsidRPr="00034D99">
              <w:rPr>
                <w:rFonts w:ascii="Arial" w:hAnsi="Arial" w:cs="Arial"/>
                <w:b/>
                <w:bCs/>
                <w:lang w:val="en"/>
              </w:rPr>
              <w:br/>
            </w:r>
            <w:r w:rsidRPr="00034D99">
              <w:rPr>
                <w:rFonts w:ascii="Arial" w:hAnsi="Arial" w:cs="Arial"/>
                <w:lang w:val="en"/>
              </w:rPr>
              <w:t>PO Box 4771</w:t>
            </w:r>
            <w:r w:rsidRPr="00034D99">
              <w:rPr>
                <w:rFonts w:ascii="Arial" w:hAnsi="Arial" w:cs="Arial"/>
                <w:lang w:val="en"/>
              </w:rPr>
              <w:br/>
              <w:t>Coventry CV4 0EH</w:t>
            </w:r>
            <w:r w:rsidRPr="00034D99">
              <w:rPr>
                <w:rFonts w:ascii="Arial" w:hAnsi="Arial" w:cs="Arial"/>
                <w:lang w:val="en"/>
              </w:rPr>
              <w:br/>
              <w:t>Fax</w:t>
            </w:r>
            <w:r>
              <w:rPr>
                <w:rFonts w:ascii="Arial" w:hAnsi="Arial" w:cs="Arial"/>
                <w:lang w:val="en"/>
              </w:rPr>
              <w:t xml:space="preserve"> </w:t>
            </w:r>
            <w:r w:rsidRPr="00034D99">
              <w:rPr>
                <w:rFonts w:ascii="Arial" w:hAnsi="Arial" w:cs="Arial"/>
                <w:lang w:val="en"/>
              </w:rPr>
              <w:t>: 024 7682 0001</w:t>
            </w:r>
            <w:r w:rsidRPr="00034D99">
              <w:rPr>
                <w:rFonts w:ascii="Arial" w:hAnsi="Arial" w:cs="Arial"/>
                <w:lang w:val="en"/>
              </w:rPr>
              <w:br/>
            </w:r>
          </w:p>
          <w:p w:rsidR="00034D99" w:rsidRPr="00034D99" w:rsidRDefault="00EE51B1" w:rsidP="00034D99">
            <w:pPr>
              <w:ind w:left="33" w:hanging="33"/>
              <w:rPr>
                <w:rFonts w:ascii="Arial" w:hAnsi="Arial" w:cs="Arial"/>
              </w:rPr>
            </w:pPr>
            <w:r w:rsidRPr="00034D99">
              <w:rPr>
                <w:rFonts w:ascii="Arial" w:hAnsi="Arial" w:cs="Arial"/>
                <w:b/>
              </w:rPr>
              <w:t>Debt Advice</w:t>
            </w:r>
            <w:r w:rsidRPr="00034D99">
              <w:rPr>
                <w:rFonts w:ascii="Arial" w:hAnsi="Arial" w:cs="Arial"/>
              </w:rPr>
              <w:t xml:space="preserve"> - </w:t>
            </w:r>
            <w:r w:rsidR="009C123B" w:rsidRPr="00034D99">
              <w:rPr>
                <w:rFonts w:ascii="Arial" w:hAnsi="Arial" w:cs="Arial"/>
              </w:rPr>
              <w:t>Customers will be advised of their rights to take their complaint to the Financial Ombudsman Service (FOC) and will be supplied with the leaflets regarding this.</w:t>
            </w:r>
            <w:r w:rsidR="00034D99" w:rsidRPr="00034D99">
              <w:rPr>
                <w:rFonts w:ascii="Arial" w:hAnsi="Arial" w:cs="Arial"/>
              </w:rPr>
              <w:t xml:space="preserve"> </w:t>
            </w:r>
          </w:p>
          <w:p w:rsidR="00034D99" w:rsidRPr="00034D99" w:rsidRDefault="00034D99" w:rsidP="00034D99">
            <w:pPr>
              <w:ind w:left="33" w:hanging="33"/>
              <w:rPr>
                <w:rFonts w:ascii="Arial" w:hAnsi="Arial" w:cs="Arial"/>
                <w:b/>
              </w:rPr>
            </w:pPr>
            <w:r w:rsidRPr="00034D99">
              <w:rPr>
                <w:rFonts w:ascii="Arial" w:hAnsi="Arial" w:cs="Arial"/>
                <w:b/>
              </w:rPr>
              <w:t xml:space="preserve">Contact details </w:t>
            </w:r>
          </w:p>
          <w:p w:rsidR="00034D99" w:rsidRPr="00034D99" w:rsidRDefault="00034D99" w:rsidP="00034D99">
            <w:pPr>
              <w:ind w:left="33" w:hanging="33"/>
              <w:rPr>
                <w:rStyle w:val="Strong"/>
                <w:rFonts w:ascii="Arial" w:hAnsi="Arial" w:cs="Arial"/>
                <w:b w:val="0"/>
                <w:lang w:val="en"/>
              </w:rPr>
            </w:pPr>
            <w:r>
              <w:rPr>
                <w:rStyle w:val="Strong"/>
                <w:rFonts w:ascii="Arial" w:hAnsi="Arial" w:cs="Arial"/>
                <w:b w:val="0"/>
                <w:lang w:val="en"/>
              </w:rPr>
              <w:t xml:space="preserve">Tel : </w:t>
            </w:r>
            <w:r w:rsidRPr="00034D99">
              <w:rPr>
                <w:rStyle w:val="Strong"/>
                <w:rFonts w:ascii="Arial" w:hAnsi="Arial" w:cs="Arial"/>
                <w:b w:val="0"/>
                <w:lang w:val="en"/>
              </w:rPr>
              <w:t>0800 023 4 567</w:t>
            </w:r>
            <w:r>
              <w:rPr>
                <w:rStyle w:val="Strong"/>
                <w:rFonts w:ascii="Arial" w:hAnsi="Arial" w:cs="Arial"/>
                <w:b w:val="0"/>
                <w:lang w:val="en"/>
              </w:rPr>
              <w:t xml:space="preserve"> or</w:t>
            </w:r>
            <w:r w:rsidRPr="00034D99">
              <w:rPr>
                <w:rStyle w:val="Strong"/>
                <w:rFonts w:ascii="Arial" w:hAnsi="Arial" w:cs="Arial"/>
                <w:b w:val="0"/>
                <w:lang w:val="en"/>
              </w:rPr>
              <w:t xml:space="preserve"> 0300 123 9 123, </w:t>
            </w:r>
          </w:p>
          <w:p w:rsidR="00034D99" w:rsidRPr="00034D99" w:rsidRDefault="00034D99" w:rsidP="00034D99">
            <w:pPr>
              <w:ind w:left="33" w:hanging="33"/>
              <w:rPr>
                <w:rFonts w:ascii="Arial" w:hAnsi="Arial" w:cs="Arial"/>
              </w:rPr>
            </w:pPr>
            <w:r>
              <w:rPr>
                <w:rFonts w:ascii="Arial" w:hAnsi="Arial" w:cs="Arial"/>
                <w:lang w:val="en"/>
              </w:rPr>
              <w:t xml:space="preserve">Address : </w:t>
            </w:r>
            <w:r w:rsidRPr="00034D99">
              <w:rPr>
                <w:rFonts w:ascii="Arial" w:hAnsi="Arial" w:cs="Arial"/>
                <w:lang w:val="en"/>
              </w:rPr>
              <w:t>The Financial Ombudsman Service</w:t>
            </w:r>
            <w:r w:rsidRPr="00034D99">
              <w:rPr>
                <w:rFonts w:ascii="Arial" w:hAnsi="Arial" w:cs="Arial"/>
                <w:lang w:val="en"/>
              </w:rPr>
              <w:br/>
              <w:t>Exchange Tower</w:t>
            </w:r>
            <w:r w:rsidRPr="00034D99">
              <w:rPr>
                <w:rFonts w:ascii="Arial" w:hAnsi="Arial" w:cs="Arial"/>
                <w:lang w:val="en"/>
              </w:rPr>
              <w:br/>
              <w:t>London E14 9SR</w:t>
            </w:r>
          </w:p>
        </w:tc>
      </w:tr>
      <w:tr w:rsidR="00BC7992" w:rsidRPr="00BA42AA" w:rsidTr="00C87EB1">
        <w:trPr>
          <w:trHeight w:val="250"/>
        </w:trPr>
        <w:tc>
          <w:tcPr>
            <w:tcW w:w="1135" w:type="dxa"/>
            <w:shd w:val="clear" w:color="auto" w:fill="auto"/>
          </w:tcPr>
          <w:p w:rsidR="00BC7992" w:rsidRPr="009C123B" w:rsidRDefault="00BC7992" w:rsidP="009C123B">
            <w:pPr>
              <w:rPr>
                <w:rFonts w:ascii="Arial" w:hAnsi="Arial" w:cs="Arial"/>
              </w:rPr>
            </w:pPr>
          </w:p>
        </w:tc>
        <w:tc>
          <w:tcPr>
            <w:tcW w:w="9011" w:type="dxa"/>
            <w:shd w:val="clear" w:color="auto" w:fill="auto"/>
          </w:tcPr>
          <w:p w:rsidR="00BC7992" w:rsidRPr="00C87EB1" w:rsidRDefault="00034D99" w:rsidP="00034D99">
            <w:pPr>
              <w:ind w:left="33" w:hanging="33"/>
              <w:rPr>
                <w:rFonts w:ascii="Arial" w:hAnsi="Arial" w:cs="Arial"/>
              </w:rPr>
            </w:pPr>
            <w:r>
              <w:rPr>
                <w:rFonts w:ascii="Arial" w:hAnsi="Arial" w:cs="Arial"/>
              </w:rPr>
              <w:t xml:space="preserve">Email : </w:t>
            </w:r>
            <w:hyperlink r:id="rId9" w:history="1">
              <w:r w:rsidRPr="00034D99">
                <w:rPr>
                  <w:rStyle w:val="Strong"/>
                  <w:rFonts w:ascii="Arial" w:hAnsi="Arial" w:cs="Arial"/>
                  <w:color w:val="0000FF"/>
                  <w:u w:val="single"/>
                  <w:lang w:val="en"/>
                </w:rPr>
                <w:t>complaint.info@financial-ombudsman.org.uk</w:t>
              </w:r>
            </w:hyperlink>
          </w:p>
        </w:tc>
      </w:tr>
      <w:tr w:rsidR="00616484" w:rsidRPr="00BA42AA" w:rsidTr="00C87EB1">
        <w:trPr>
          <w:trHeight w:val="250"/>
        </w:trPr>
        <w:tc>
          <w:tcPr>
            <w:tcW w:w="1135" w:type="dxa"/>
            <w:shd w:val="clear" w:color="auto" w:fill="auto"/>
          </w:tcPr>
          <w:p w:rsidR="00616484" w:rsidRPr="00BC7992" w:rsidRDefault="00616484" w:rsidP="00C87EB1">
            <w:pPr>
              <w:pStyle w:val="ListParagraph"/>
              <w:ind w:left="505" w:hanging="505"/>
              <w:rPr>
                <w:rFonts w:ascii="Arial" w:hAnsi="Arial" w:cs="Arial"/>
              </w:rPr>
            </w:pPr>
          </w:p>
        </w:tc>
        <w:tc>
          <w:tcPr>
            <w:tcW w:w="9011" w:type="dxa"/>
            <w:shd w:val="clear" w:color="auto" w:fill="auto"/>
          </w:tcPr>
          <w:p w:rsidR="00616484" w:rsidRPr="00C87EB1" w:rsidRDefault="00616484" w:rsidP="00BC7992">
            <w:pPr>
              <w:ind w:left="33"/>
              <w:rPr>
                <w:rFonts w:ascii="Arial" w:hAnsi="Arial" w:cs="Arial"/>
              </w:rPr>
            </w:pPr>
          </w:p>
        </w:tc>
      </w:tr>
      <w:tr w:rsidR="00BC7992" w:rsidRPr="00BA42AA" w:rsidTr="00C87EB1">
        <w:trPr>
          <w:trHeight w:val="250"/>
        </w:trPr>
        <w:tc>
          <w:tcPr>
            <w:tcW w:w="1135" w:type="dxa"/>
            <w:shd w:val="clear" w:color="auto" w:fill="auto"/>
          </w:tcPr>
          <w:p w:rsidR="00BC7992" w:rsidRPr="00BC7992" w:rsidRDefault="00BC7992" w:rsidP="00885C12">
            <w:pPr>
              <w:pStyle w:val="ListParagraph"/>
              <w:numPr>
                <w:ilvl w:val="1"/>
                <w:numId w:val="5"/>
              </w:numPr>
              <w:ind w:left="505" w:hanging="505"/>
              <w:rPr>
                <w:rFonts w:ascii="Arial" w:hAnsi="Arial" w:cs="Arial"/>
              </w:rPr>
            </w:pPr>
          </w:p>
        </w:tc>
        <w:tc>
          <w:tcPr>
            <w:tcW w:w="9011" w:type="dxa"/>
            <w:shd w:val="clear" w:color="auto" w:fill="auto"/>
          </w:tcPr>
          <w:p w:rsidR="00BC7992" w:rsidRPr="00C87EB1" w:rsidRDefault="00F93AF2" w:rsidP="00BC7992">
            <w:pPr>
              <w:ind w:left="33"/>
              <w:rPr>
                <w:rFonts w:ascii="Arial" w:hAnsi="Arial" w:cs="Arial"/>
              </w:rPr>
            </w:pPr>
            <w:r w:rsidRPr="00C87EB1">
              <w:rPr>
                <w:rFonts w:ascii="Arial" w:hAnsi="Arial" w:cs="Arial"/>
                <w:b/>
              </w:rPr>
              <w:t>Ombudsman Service</w:t>
            </w:r>
            <w:r w:rsidR="00034D99">
              <w:rPr>
                <w:rFonts w:ascii="Arial" w:hAnsi="Arial" w:cs="Arial"/>
                <w:b/>
              </w:rPr>
              <w:t>s</w:t>
            </w: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505" w:hanging="505"/>
              <w:rPr>
                <w:rFonts w:ascii="Arial" w:hAnsi="Arial" w:cs="Arial"/>
              </w:rPr>
            </w:pPr>
          </w:p>
        </w:tc>
        <w:tc>
          <w:tcPr>
            <w:tcW w:w="9011" w:type="dxa"/>
            <w:shd w:val="clear" w:color="auto" w:fill="auto"/>
          </w:tcPr>
          <w:p w:rsidR="00C87EB1" w:rsidRPr="00C87EB1" w:rsidRDefault="00C87EB1" w:rsidP="00F93AF2">
            <w:pPr>
              <w:tabs>
                <w:tab w:val="left" w:pos="0"/>
                <w:tab w:val="left" w:pos="720"/>
              </w:tabs>
              <w:rPr>
                <w:rFonts w:ascii="Arial" w:hAnsi="Arial" w:cs="Arial"/>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2"/>
                <w:numId w:val="5"/>
              </w:numPr>
              <w:ind w:left="505" w:hanging="505"/>
              <w:rPr>
                <w:rFonts w:ascii="Arial" w:hAnsi="Arial" w:cs="Arial"/>
              </w:rPr>
            </w:pPr>
          </w:p>
        </w:tc>
        <w:tc>
          <w:tcPr>
            <w:tcW w:w="9011" w:type="dxa"/>
            <w:shd w:val="clear" w:color="auto" w:fill="auto"/>
          </w:tcPr>
          <w:p w:rsidR="0026571C" w:rsidRDefault="00F93AF2" w:rsidP="00034D99">
            <w:pPr>
              <w:tabs>
                <w:tab w:val="left" w:pos="0"/>
                <w:tab w:val="left" w:pos="720"/>
              </w:tabs>
              <w:rPr>
                <w:rFonts w:ascii="Arial" w:hAnsi="Arial" w:cs="Arial"/>
              </w:rPr>
            </w:pPr>
            <w:r w:rsidRPr="00C87EB1">
              <w:rPr>
                <w:rFonts w:ascii="Arial" w:hAnsi="Arial" w:cs="Arial"/>
              </w:rPr>
              <w:t>We will comply with our statutory and regulatory obligations to maintain membership of the Ombudsman Service</w:t>
            </w:r>
            <w:r w:rsidR="00034D99">
              <w:rPr>
                <w:rFonts w:ascii="Arial" w:hAnsi="Arial" w:cs="Arial"/>
              </w:rPr>
              <w:t>s</w:t>
            </w:r>
            <w:r w:rsidRPr="00C87EB1">
              <w:rPr>
                <w:rFonts w:ascii="Arial" w:hAnsi="Arial" w:cs="Arial"/>
              </w:rPr>
              <w:t>.</w:t>
            </w:r>
          </w:p>
          <w:p w:rsidR="0026571C" w:rsidRPr="00C87EB1" w:rsidRDefault="0026571C" w:rsidP="00034D99">
            <w:pPr>
              <w:tabs>
                <w:tab w:val="left" w:pos="0"/>
                <w:tab w:val="left" w:pos="720"/>
              </w:tabs>
              <w:rPr>
                <w:rFonts w:ascii="Arial" w:hAnsi="Arial" w:cs="Arial"/>
              </w:rPr>
            </w:pPr>
          </w:p>
        </w:tc>
      </w:tr>
      <w:tr w:rsidR="00C87EB1" w:rsidRPr="00BA42AA" w:rsidTr="00C87EB1">
        <w:trPr>
          <w:trHeight w:val="250"/>
        </w:trPr>
        <w:tc>
          <w:tcPr>
            <w:tcW w:w="1135" w:type="dxa"/>
            <w:shd w:val="clear" w:color="auto" w:fill="auto"/>
          </w:tcPr>
          <w:p w:rsidR="00C87EB1" w:rsidRDefault="0026571C" w:rsidP="00C87EB1">
            <w:pPr>
              <w:pStyle w:val="ListParagraph"/>
              <w:ind w:left="505" w:hanging="505"/>
              <w:rPr>
                <w:rFonts w:ascii="Arial" w:hAnsi="Arial" w:cs="Arial"/>
              </w:rPr>
            </w:pPr>
            <w:r>
              <w:rPr>
                <w:rFonts w:ascii="Arial" w:hAnsi="Arial" w:cs="Arial"/>
              </w:rPr>
              <w:t>2.3.2</w:t>
            </w:r>
          </w:p>
          <w:p w:rsidR="0026571C" w:rsidRPr="00BC7992" w:rsidRDefault="0026571C" w:rsidP="00C87EB1">
            <w:pPr>
              <w:pStyle w:val="ListParagraph"/>
              <w:ind w:left="505" w:hanging="505"/>
              <w:rPr>
                <w:rFonts w:ascii="Arial" w:hAnsi="Arial" w:cs="Arial"/>
              </w:rPr>
            </w:pPr>
          </w:p>
        </w:tc>
        <w:tc>
          <w:tcPr>
            <w:tcW w:w="9011" w:type="dxa"/>
            <w:shd w:val="clear" w:color="auto" w:fill="auto"/>
          </w:tcPr>
          <w:p w:rsidR="00C87EB1" w:rsidRDefault="0026571C" w:rsidP="0026571C">
            <w:pPr>
              <w:ind w:left="33"/>
              <w:rPr>
                <w:rFonts w:ascii="Arial" w:hAnsi="Arial" w:cs="Arial"/>
              </w:rPr>
            </w:pPr>
            <w:r w:rsidRPr="0026571C">
              <w:rPr>
                <w:rFonts w:ascii="Arial" w:hAnsi="Arial" w:cs="Arial"/>
              </w:rPr>
              <w:t>Where a request</w:t>
            </w:r>
            <w:r>
              <w:rPr>
                <w:rFonts w:ascii="Arial" w:hAnsi="Arial" w:cs="Arial"/>
              </w:rPr>
              <w:t xml:space="preserve"> is made by the Ombudsman for information, the relevant investigating manager should work with the Review Administrator to collate the pack and all information. </w:t>
            </w:r>
          </w:p>
          <w:p w:rsidR="0026571C" w:rsidRPr="0026571C" w:rsidRDefault="0026571C" w:rsidP="0026571C">
            <w:pPr>
              <w:ind w:left="33"/>
              <w:rPr>
                <w:rFonts w:ascii="Arial" w:hAnsi="Arial" w:cs="Arial"/>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1"/>
                <w:numId w:val="5"/>
              </w:numPr>
              <w:ind w:hanging="747"/>
              <w:rPr>
                <w:rFonts w:ascii="Arial" w:hAnsi="Arial" w:cs="Arial"/>
              </w:rPr>
            </w:pPr>
          </w:p>
        </w:tc>
        <w:tc>
          <w:tcPr>
            <w:tcW w:w="9011" w:type="dxa"/>
            <w:shd w:val="clear" w:color="auto" w:fill="auto"/>
          </w:tcPr>
          <w:p w:rsidR="00B976AC" w:rsidRPr="00C87EB1" w:rsidRDefault="00F93AF2" w:rsidP="00BC7992">
            <w:pPr>
              <w:ind w:left="33"/>
              <w:rPr>
                <w:rFonts w:ascii="Arial" w:hAnsi="Arial" w:cs="Arial"/>
              </w:rPr>
            </w:pPr>
            <w:r w:rsidRPr="00C87EB1">
              <w:rPr>
                <w:rFonts w:ascii="Arial" w:hAnsi="Arial" w:cs="Arial"/>
                <w:b/>
              </w:rPr>
              <w:t>Unreasonably Persistent or Vexatious Complaints</w:t>
            </w: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792"/>
              <w:rPr>
                <w:rFonts w:ascii="Arial" w:hAnsi="Arial" w:cs="Arial"/>
              </w:rPr>
            </w:pPr>
          </w:p>
        </w:tc>
        <w:tc>
          <w:tcPr>
            <w:tcW w:w="9011" w:type="dxa"/>
            <w:shd w:val="clear" w:color="auto" w:fill="auto"/>
          </w:tcPr>
          <w:p w:rsidR="00C87EB1" w:rsidRPr="00C87EB1" w:rsidRDefault="00C87EB1" w:rsidP="00F93AF2">
            <w:pPr>
              <w:rPr>
                <w:rFonts w:ascii="Arial" w:hAnsi="Arial" w:cs="Arial"/>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2"/>
                <w:numId w:val="5"/>
              </w:numPr>
              <w:ind w:left="505" w:hanging="505"/>
              <w:rPr>
                <w:rFonts w:ascii="Arial" w:hAnsi="Arial" w:cs="Arial"/>
              </w:rPr>
            </w:pPr>
          </w:p>
        </w:tc>
        <w:tc>
          <w:tcPr>
            <w:tcW w:w="9011" w:type="dxa"/>
            <w:shd w:val="clear" w:color="auto" w:fill="auto"/>
          </w:tcPr>
          <w:p w:rsidR="00B976AC" w:rsidRPr="00C87EB1" w:rsidRDefault="00F93AF2" w:rsidP="00CA18BB">
            <w:pPr>
              <w:rPr>
                <w:rFonts w:ascii="Arial" w:hAnsi="Arial" w:cs="Arial"/>
              </w:rPr>
            </w:pPr>
            <w:r w:rsidRPr="00C87EB1">
              <w:rPr>
                <w:rFonts w:ascii="Arial" w:hAnsi="Arial" w:cs="Arial"/>
              </w:rPr>
              <w:t xml:space="preserve">Where the Group Chief Executive considers a complaint to be deliberately repetitious or vexatious, we may, at any </w:t>
            </w:r>
            <w:r w:rsidR="009922DB">
              <w:rPr>
                <w:rFonts w:ascii="Arial" w:hAnsi="Arial" w:cs="Arial"/>
              </w:rPr>
              <w:t>point</w:t>
            </w:r>
            <w:r w:rsidR="009922DB" w:rsidRPr="00C87EB1">
              <w:rPr>
                <w:rFonts w:ascii="Arial" w:hAnsi="Arial" w:cs="Arial"/>
              </w:rPr>
              <w:t xml:space="preserve"> </w:t>
            </w:r>
            <w:r w:rsidRPr="00C87EB1">
              <w:rPr>
                <w:rFonts w:ascii="Arial" w:hAnsi="Arial" w:cs="Arial"/>
              </w:rPr>
              <w:t>of the complaints procedure, review the complaint and give a decision</w:t>
            </w:r>
            <w:r w:rsidR="009922DB">
              <w:rPr>
                <w:rFonts w:ascii="Arial" w:hAnsi="Arial" w:cs="Arial"/>
              </w:rPr>
              <w:t>.</w:t>
            </w:r>
            <w:r w:rsidRPr="00C87EB1">
              <w:rPr>
                <w:rFonts w:ascii="Arial" w:hAnsi="Arial" w:cs="Arial"/>
              </w:rPr>
              <w:t xml:space="preserve"> </w:t>
            </w:r>
            <w:r w:rsidR="00CA18BB">
              <w:rPr>
                <w:rFonts w:ascii="Arial" w:hAnsi="Arial" w:cs="Arial"/>
              </w:rPr>
              <w:t>Should this decision be that the complainant is vexatious, the complaint will be closed.  The complainant then has the option to go to the Ombudsman service.</w:t>
            </w: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792"/>
              <w:rPr>
                <w:rFonts w:ascii="Arial" w:hAnsi="Arial" w:cs="Arial"/>
              </w:rPr>
            </w:pPr>
          </w:p>
        </w:tc>
        <w:tc>
          <w:tcPr>
            <w:tcW w:w="9011" w:type="dxa"/>
            <w:shd w:val="clear" w:color="auto" w:fill="auto"/>
          </w:tcPr>
          <w:p w:rsidR="00C87EB1" w:rsidRPr="00C87EB1" w:rsidRDefault="00C87EB1" w:rsidP="00B976AC">
            <w:pPr>
              <w:rPr>
                <w:rFonts w:ascii="Arial" w:hAnsi="Arial" w:cs="Arial"/>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2"/>
                <w:numId w:val="5"/>
              </w:numPr>
              <w:ind w:left="505" w:hanging="505"/>
              <w:rPr>
                <w:rFonts w:ascii="Arial" w:hAnsi="Arial" w:cs="Arial"/>
              </w:rPr>
            </w:pPr>
          </w:p>
        </w:tc>
        <w:tc>
          <w:tcPr>
            <w:tcW w:w="9011" w:type="dxa"/>
            <w:shd w:val="clear" w:color="auto" w:fill="auto"/>
          </w:tcPr>
          <w:p w:rsidR="00B976AC" w:rsidRPr="00C87EB1" w:rsidRDefault="00B976AC" w:rsidP="00B976AC">
            <w:pPr>
              <w:rPr>
                <w:rFonts w:ascii="Arial" w:hAnsi="Arial" w:cs="Arial"/>
              </w:rPr>
            </w:pPr>
            <w:r w:rsidRPr="00C87EB1">
              <w:rPr>
                <w:rFonts w:ascii="Arial" w:hAnsi="Arial" w:cs="Arial"/>
              </w:rPr>
              <w:t xml:space="preserve">If a complaint is substantially the same as one made within the previous six months, we may choose not to investigate the matter. </w:t>
            </w: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792"/>
              <w:rPr>
                <w:rFonts w:ascii="Arial" w:hAnsi="Arial" w:cs="Arial"/>
              </w:rPr>
            </w:pPr>
          </w:p>
        </w:tc>
        <w:tc>
          <w:tcPr>
            <w:tcW w:w="9011" w:type="dxa"/>
            <w:shd w:val="clear" w:color="auto" w:fill="auto"/>
          </w:tcPr>
          <w:p w:rsidR="00C87EB1" w:rsidRPr="00C87EB1" w:rsidRDefault="00C87EB1" w:rsidP="00BC7992">
            <w:pPr>
              <w:ind w:left="33"/>
              <w:rPr>
                <w:rFonts w:ascii="Arial" w:hAnsi="Arial" w:cs="Arial"/>
                <w:b/>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1"/>
                <w:numId w:val="5"/>
              </w:numPr>
              <w:ind w:hanging="747"/>
              <w:rPr>
                <w:rFonts w:ascii="Arial" w:hAnsi="Arial" w:cs="Arial"/>
              </w:rPr>
            </w:pPr>
          </w:p>
        </w:tc>
        <w:tc>
          <w:tcPr>
            <w:tcW w:w="9011" w:type="dxa"/>
            <w:shd w:val="clear" w:color="auto" w:fill="auto"/>
          </w:tcPr>
          <w:p w:rsidR="00B976AC" w:rsidRPr="00C87EB1" w:rsidRDefault="00B976AC" w:rsidP="00BC7992">
            <w:pPr>
              <w:ind w:left="33"/>
              <w:rPr>
                <w:rFonts w:ascii="Arial" w:hAnsi="Arial" w:cs="Arial"/>
              </w:rPr>
            </w:pPr>
            <w:r w:rsidRPr="00C87EB1">
              <w:rPr>
                <w:rFonts w:ascii="Arial" w:hAnsi="Arial" w:cs="Arial"/>
                <w:b/>
              </w:rPr>
              <w:t>Staffing Issues</w:t>
            </w: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792"/>
              <w:rPr>
                <w:rFonts w:ascii="Arial" w:hAnsi="Arial" w:cs="Arial"/>
              </w:rPr>
            </w:pPr>
          </w:p>
        </w:tc>
        <w:tc>
          <w:tcPr>
            <w:tcW w:w="9011" w:type="dxa"/>
            <w:shd w:val="clear" w:color="auto" w:fill="auto"/>
          </w:tcPr>
          <w:p w:rsidR="00C87EB1" w:rsidRPr="00C87EB1" w:rsidRDefault="00C87EB1" w:rsidP="00BC7992">
            <w:pPr>
              <w:ind w:left="33"/>
              <w:rPr>
                <w:rFonts w:ascii="Arial" w:hAnsi="Arial" w:cs="Arial"/>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2"/>
                <w:numId w:val="5"/>
              </w:numPr>
              <w:ind w:left="505" w:hanging="505"/>
              <w:rPr>
                <w:rFonts w:ascii="Arial" w:hAnsi="Arial" w:cs="Arial"/>
              </w:rPr>
            </w:pPr>
          </w:p>
        </w:tc>
        <w:tc>
          <w:tcPr>
            <w:tcW w:w="9011" w:type="dxa"/>
            <w:shd w:val="clear" w:color="auto" w:fill="auto"/>
          </w:tcPr>
          <w:p w:rsidR="00B976AC" w:rsidRPr="00C87EB1" w:rsidRDefault="00B976AC" w:rsidP="00BC7992">
            <w:pPr>
              <w:ind w:left="33"/>
              <w:rPr>
                <w:rFonts w:ascii="Arial" w:hAnsi="Arial" w:cs="Arial"/>
              </w:rPr>
            </w:pPr>
            <w:r w:rsidRPr="00C87EB1">
              <w:rPr>
                <w:rFonts w:ascii="Arial" w:hAnsi="Arial" w:cs="Arial"/>
              </w:rPr>
              <w:t>All staff will receive training to help them develop their skills in dealing effectively with customers and applying this policy.</w:t>
            </w: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505" w:hanging="505"/>
              <w:rPr>
                <w:rFonts w:ascii="Arial" w:hAnsi="Arial" w:cs="Arial"/>
              </w:rPr>
            </w:pPr>
          </w:p>
        </w:tc>
        <w:tc>
          <w:tcPr>
            <w:tcW w:w="9011" w:type="dxa"/>
            <w:shd w:val="clear" w:color="auto" w:fill="auto"/>
          </w:tcPr>
          <w:p w:rsidR="00C87EB1" w:rsidRPr="00C87EB1" w:rsidRDefault="00C87EB1" w:rsidP="00B976AC">
            <w:pPr>
              <w:ind w:left="33"/>
              <w:rPr>
                <w:rFonts w:ascii="Arial" w:hAnsi="Arial" w:cs="Arial"/>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2"/>
                <w:numId w:val="5"/>
              </w:numPr>
              <w:ind w:left="505" w:hanging="505"/>
              <w:rPr>
                <w:rFonts w:ascii="Arial" w:hAnsi="Arial" w:cs="Arial"/>
              </w:rPr>
            </w:pPr>
          </w:p>
        </w:tc>
        <w:tc>
          <w:tcPr>
            <w:tcW w:w="9011" w:type="dxa"/>
            <w:shd w:val="clear" w:color="auto" w:fill="auto"/>
          </w:tcPr>
          <w:p w:rsidR="00B976AC" w:rsidRPr="00C87EB1" w:rsidRDefault="00B976AC" w:rsidP="00B976AC">
            <w:pPr>
              <w:ind w:left="33"/>
              <w:rPr>
                <w:rFonts w:ascii="Arial" w:hAnsi="Arial" w:cs="Arial"/>
              </w:rPr>
            </w:pPr>
            <w:r w:rsidRPr="00C87EB1">
              <w:rPr>
                <w:rFonts w:ascii="Arial" w:hAnsi="Arial" w:cs="Arial"/>
              </w:rPr>
              <w:t>Staff should not be afraid to admit mistakes, and offer an apology at the earliest opportunity.  Where a complaint is received about a member of staff, they will be informed immediately by their manager, and given the opportunity to give their view of the situation.  They will also be kept informed of progress and the findings of any investigation.</w:t>
            </w: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505" w:hanging="505"/>
              <w:rPr>
                <w:rFonts w:ascii="Arial" w:hAnsi="Arial" w:cs="Arial"/>
              </w:rPr>
            </w:pPr>
          </w:p>
        </w:tc>
        <w:tc>
          <w:tcPr>
            <w:tcW w:w="9011" w:type="dxa"/>
            <w:shd w:val="clear" w:color="auto" w:fill="auto"/>
          </w:tcPr>
          <w:p w:rsidR="00C87EB1" w:rsidRPr="00C87EB1" w:rsidRDefault="00C87EB1" w:rsidP="00B976AC">
            <w:pPr>
              <w:tabs>
                <w:tab w:val="left" w:pos="0"/>
                <w:tab w:val="left" w:pos="720"/>
              </w:tabs>
              <w:rPr>
                <w:rFonts w:ascii="Arial" w:hAnsi="Arial" w:cs="Arial"/>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2"/>
                <w:numId w:val="5"/>
              </w:numPr>
              <w:ind w:left="505" w:hanging="505"/>
              <w:rPr>
                <w:rFonts w:ascii="Arial" w:hAnsi="Arial" w:cs="Arial"/>
              </w:rPr>
            </w:pPr>
          </w:p>
        </w:tc>
        <w:tc>
          <w:tcPr>
            <w:tcW w:w="9011" w:type="dxa"/>
            <w:shd w:val="clear" w:color="auto" w:fill="auto"/>
          </w:tcPr>
          <w:p w:rsidR="00B976AC" w:rsidRPr="00C87EB1" w:rsidRDefault="00B976AC" w:rsidP="009922DB">
            <w:pPr>
              <w:tabs>
                <w:tab w:val="left" w:pos="0"/>
                <w:tab w:val="left" w:pos="720"/>
              </w:tabs>
              <w:rPr>
                <w:rFonts w:ascii="Arial" w:hAnsi="Arial" w:cs="Arial"/>
              </w:rPr>
            </w:pPr>
            <w:r w:rsidRPr="00C87EB1">
              <w:rPr>
                <w:rFonts w:ascii="Arial" w:hAnsi="Arial" w:cs="Arial"/>
              </w:rPr>
              <w:t xml:space="preserve">The </w:t>
            </w:r>
            <w:r w:rsidR="009922DB">
              <w:rPr>
                <w:rFonts w:ascii="Arial" w:hAnsi="Arial" w:cs="Arial"/>
              </w:rPr>
              <w:t>Housing Services Manager (</w:t>
            </w:r>
            <w:r w:rsidRPr="00C87EB1">
              <w:rPr>
                <w:rFonts w:ascii="Arial" w:hAnsi="Arial" w:cs="Arial"/>
              </w:rPr>
              <w:t>Customer Services</w:t>
            </w:r>
            <w:r w:rsidR="009922DB">
              <w:rPr>
                <w:rFonts w:ascii="Arial" w:hAnsi="Arial" w:cs="Arial"/>
              </w:rPr>
              <w:t>),</w:t>
            </w:r>
            <w:r w:rsidRPr="00C87EB1">
              <w:rPr>
                <w:rFonts w:ascii="Arial" w:hAnsi="Arial" w:cs="Arial"/>
              </w:rPr>
              <w:t xml:space="preserve"> is responsible for providing </w:t>
            </w:r>
            <w:r w:rsidRPr="00C87EB1">
              <w:rPr>
                <w:rFonts w:ascii="Arial" w:hAnsi="Arial" w:cs="Arial"/>
              </w:rPr>
              <w:lastRenderedPageBreak/>
              <w:t>advice on handling complaints, monitoring the effectiveness of the customer feedback</w:t>
            </w:r>
            <w:r w:rsidR="00C87EB1">
              <w:rPr>
                <w:rFonts w:ascii="Arial" w:hAnsi="Arial" w:cs="Arial"/>
              </w:rPr>
              <w:t xml:space="preserve"> </w:t>
            </w:r>
            <w:r w:rsidRPr="00C87EB1">
              <w:rPr>
                <w:rFonts w:ascii="Arial" w:hAnsi="Arial" w:cs="Arial"/>
              </w:rPr>
              <w:t>procedure</w:t>
            </w:r>
            <w:r w:rsidR="009922DB">
              <w:rPr>
                <w:rFonts w:ascii="Arial" w:hAnsi="Arial" w:cs="Arial"/>
              </w:rPr>
              <w:t>.</w:t>
            </w:r>
            <w:r w:rsidRPr="00C87EB1">
              <w:rPr>
                <w:rFonts w:ascii="Arial" w:hAnsi="Arial" w:cs="Arial"/>
              </w:rPr>
              <w:t xml:space="preserve"> </w:t>
            </w: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792"/>
              <w:rPr>
                <w:rFonts w:ascii="Arial" w:hAnsi="Arial" w:cs="Arial"/>
              </w:rPr>
            </w:pPr>
          </w:p>
        </w:tc>
        <w:tc>
          <w:tcPr>
            <w:tcW w:w="9011" w:type="dxa"/>
            <w:shd w:val="clear" w:color="auto" w:fill="auto"/>
          </w:tcPr>
          <w:p w:rsidR="00C87EB1" w:rsidRPr="00C87EB1" w:rsidRDefault="00C87EB1" w:rsidP="00B976AC">
            <w:pPr>
              <w:rPr>
                <w:rFonts w:ascii="Arial" w:hAnsi="Arial" w:cs="Arial"/>
                <w:b/>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1"/>
                <w:numId w:val="5"/>
              </w:numPr>
              <w:ind w:hanging="747"/>
              <w:rPr>
                <w:rFonts w:ascii="Arial" w:hAnsi="Arial" w:cs="Arial"/>
              </w:rPr>
            </w:pPr>
          </w:p>
        </w:tc>
        <w:tc>
          <w:tcPr>
            <w:tcW w:w="9011" w:type="dxa"/>
            <w:shd w:val="clear" w:color="auto" w:fill="auto"/>
          </w:tcPr>
          <w:p w:rsidR="00B976AC" w:rsidRPr="00C87EB1" w:rsidRDefault="00B976AC" w:rsidP="00B976AC">
            <w:pPr>
              <w:rPr>
                <w:rFonts w:ascii="Arial" w:hAnsi="Arial" w:cs="Arial"/>
                <w:b/>
              </w:rPr>
            </w:pPr>
            <w:r w:rsidRPr="00C87EB1">
              <w:rPr>
                <w:rFonts w:ascii="Arial" w:hAnsi="Arial" w:cs="Arial"/>
                <w:b/>
              </w:rPr>
              <w:t>Other Feedback and Compliments</w:t>
            </w: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792"/>
              <w:rPr>
                <w:rFonts w:ascii="Arial" w:hAnsi="Arial" w:cs="Arial"/>
              </w:rPr>
            </w:pPr>
          </w:p>
        </w:tc>
        <w:tc>
          <w:tcPr>
            <w:tcW w:w="9011" w:type="dxa"/>
            <w:shd w:val="clear" w:color="auto" w:fill="auto"/>
          </w:tcPr>
          <w:p w:rsidR="00C87EB1" w:rsidRPr="00C87EB1" w:rsidRDefault="00C87EB1" w:rsidP="00B976AC">
            <w:pPr>
              <w:ind w:left="33"/>
              <w:rPr>
                <w:rFonts w:ascii="Arial" w:hAnsi="Arial" w:cs="Arial"/>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2"/>
                <w:numId w:val="5"/>
              </w:numPr>
              <w:ind w:left="505" w:hanging="505"/>
              <w:rPr>
                <w:rFonts w:ascii="Arial" w:hAnsi="Arial" w:cs="Arial"/>
              </w:rPr>
            </w:pPr>
          </w:p>
        </w:tc>
        <w:tc>
          <w:tcPr>
            <w:tcW w:w="9011" w:type="dxa"/>
            <w:shd w:val="clear" w:color="auto" w:fill="auto"/>
          </w:tcPr>
          <w:p w:rsidR="00B976AC" w:rsidRPr="00C87EB1" w:rsidRDefault="00B976AC">
            <w:pPr>
              <w:ind w:left="33"/>
              <w:rPr>
                <w:rFonts w:ascii="Arial" w:hAnsi="Arial" w:cs="Arial"/>
              </w:rPr>
            </w:pPr>
            <w:r w:rsidRPr="00C87EB1">
              <w:rPr>
                <w:rFonts w:ascii="Arial" w:hAnsi="Arial" w:cs="Arial"/>
              </w:rPr>
              <w:t xml:space="preserve">All forms of feedback, including compliments and suggestions, are acknowledged and recorded in </w:t>
            </w:r>
            <w:r w:rsidR="00737611">
              <w:rPr>
                <w:rFonts w:ascii="Arial" w:hAnsi="Arial" w:cs="Arial"/>
              </w:rPr>
              <w:t>T</w:t>
            </w:r>
            <w:r w:rsidRPr="00C87EB1">
              <w:rPr>
                <w:rFonts w:ascii="Arial" w:hAnsi="Arial" w:cs="Arial"/>
              </w:rPr>
              <w:t xml:space="preserve">he </w:t>
            </w:r>
            <w:r w:rsidR="00602A7A">
              <w:rPr>
                <w:rFonts w:ascii="Arial" w:hAnsi="Arial" w:cs="Arial"/>
              </w:rPr>
              <w:t>H</w:t>
            </w:r>
            <w:r w:rsidR="00737611">
              <w:rPr>
                <w:rFonts w:ascii="Arial" w:hAnsi="Arial" w:cs="Arial"/>
              </w:rPr>
              <w:t>ub</w:t>
            </w:r>
            <w:r w:rsidRPr="00C87EB1">
              <w:rPr>
                <w:rFonts w:ascii="Arial" w:hAnsi="Arial" w:cs="Arial"/>
              </w:rPr>
              <w:t>, which is a centralised database.</w:t>
            </w: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505" w:hanging="505"/>
              <w:rPr>
                <w:rFonts w:ascii="Arial" w:hAnsi="Arial" w:cs="Arial"/>
              </w:rPr>
            </w:pPr>
          </w:p>
        </w:tc>
        <w:tc>
          <w:tcPr>
            <w:tcW w:w="9011" w:type="dxa"/>
            <w:shd w:val="clear" w:color="auto" w:fill="auto"/>
          </w:tcPr>
          <w:p w:rsidR="00C87EB1" w:rsidRPr="00C87EB1" w:rsidRDefault="00C87EB1" w:rsidP="00B976AC">
            <w:pPr>
              <w:ind w:left="33"/>
              <w:rPr>
                <w:rFonts w:ascii="Arial" w:hAnsi="Arial" w:cs="Arial"/>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2"/>
                <w:numId w:val="5"/>
              </w:numPr>
              <w:ind w:left="505" w:hanging="505"/>
              <w:rPr>
                <w:rFonts w:ascii="Arial" w:hAnsi="Arial" w:cs="Arial"/>
              </w:rPr>
            </w:pPr>
          </w:p>
        </w:tc>
        <w:tc>
          <w:tcPr>
            <w:tcW w:w="9011" w:type="dxa"/>
            <w:shd w:val="clear" w:color="auto" w:fill="auto"/>
          </w:tcPr>
          <w:p w:rsidR="00B976AC" w:rsidRPr="00C87EB1" w:rsidRDefault="00B976AC" w:rsidP="00034D99">
            <w:pPr>
              <w:ind w:left="33"/>
              <w:rPr>
                <w:rFonts w:ascii="Arial" w:hAnsi="Arial" w:cs="Arial"/>
              </w:rPr>
            </w:pPr>
            <w:r w:rsidRPr="00C87EB1">
              <w:rPr>
                <w:rFonts w:ascii="Arial" w:hAnsi="Arial" w:cs="Arial"/>
              </w:rPr>
              <w:t xml:space="preserve">From time to time, we will canvass the opinion of customers through a variety of techniques to gauge the levels of satisfaction with </w:t>
            </w:r>
            <w:r w:rsidR="00602A7A">
              <w:rPr>
                <w:rFonts w:ascii="Arial" w:hAnsi="Arial" w:cs="Arial"/>
              </w:rPr>
              <w:t xml:space="preserve">our </w:t>
            </w:r>
            <w:r w:rsidRPr="00C87EB1">
              <w:rPr>
                <w:rFonts w:ascii="Arial" w:hAnsi="Arial" w:cs="Arial"/>
              </w:rPr>
              <w:t xml:space="preserve">services.  </w:t>
            </w: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792"/>
              <w:rPr>
                <w:rFonts w:ascii="Arial" w:hAnsi="Arial" w:cs="Arial"/>
              </w:rPr>
            </w:pPr>
          </w:p>
        </w:tc>
        <w:tc>
          <w:tcPr>
            <w:tcW w:w="9011" w:type="dxa"/>
            <w:shd w:val="clear" w:color="auto" w:fill="auto"/>
          </w:tcPr>
          <w:p w:rsidR="00C87EB1" w:rsidRPr="00C87EB1" w:rsidRDefault="00C87EB1" w:rsidP="00BC7992">
            <w:pPr>
              <w:ind w:left="33"/>
              <w:rPr>
                <w:rFonts w:ascii="Arial" w:hAnsi="Arial" w:cs="Arial"/>
                <w:b/>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1"/>
                <w:numId w:val="5"/>
              </w:numPr>
              <w:ind w:hanging="747"/>
              <w:rPr>
                <w:rFonts w:ascii="Arial" w:hAnsi="Arial" w:cs="Arial"/>
              </w:rPr>
            </w:pPr>
          </w:p>
        </w:tc>
        <w:tc>
          <w:tcPr>
            <w:tcW w:w="9011" w:type="dxa"/>
            <w:shd w:val="clear" w:color="auto" w:fill="auto"/>
          </w:tcPr>
          <w:p w:rsidR="00B976AC" w:rsidRPr="00C87EB1" w:rsidRDefault="00B976AC" w:rsidP="00BC7992">
            <w:pPr>
              <w:ind w:left="33"/>
              <w:rPr>
                <w:rFonts w:ascii="Arial" w:hAnsi="Arial" w:cs="Arial"/>
              </w:rPr>
            </w:pPr>
            <w:r w:rsidRPr="00C87EB1">
              <w:rPr>
                <w:rFonts w:ascii="Arial" w:hAnsi="Arial" w:cs="Arial"/>
                <w:b/>
              </w:rPr>
              <w:t>Compensation</w:t>
            </w: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792"/>
              <w:rPr>
                <w:rFonts w:ascii="Arial" w:hAnsi="Arial" w:cs="Arial"/>
              </w:rPr>
            </w:pPr>
          </w:p>
        </w:tc>
        <w:tc>
          <w:tcPr>
            <w:tcW w:w="9011" w:type="dxa"/>
            <w:shd w:val="clear" w:color="auto" w:fill="auto"/>
          </w:tcPr>
          <w:p w:rsidR="00C87EB1" w:rsidRPr="00C87EB1" w:rsidRDefault="00C87EB1" w:rsidP="00B976AC">
            <w:pPr>
              <w:ind w:left="33"/>
              <w:rPr>
                <w:rFonts w:ascii="Arial" w:hAnsi="Arial" w:cs="Arial"/>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2"/>
                <w:numId w:val="5"/>
              </w:numPr>
              <w:ind w:left="505" w:hanging="505"/>
              <w:rPr>
                <w:rFonts w:ascii="Arial" w:hAnsi="Arial" w:cs="Arial"/>
              </w:rPr>
            </w:pPr>
          </w:p>
        </w:tc>
        <w:tc>
          <w:tcPr>
            <w:tcW w:w="9011" w:type="dxa"/>
            <w:shd w:val="clear" w:color="auto" w:fill="auto"/>
          </w:tcPr>
          <w:p w:rsidR="00B976AC" w:rsidRPr="00C87EB1" w:rsidRDefault="00B976AC" w:rsidP="00B976AC">
            <w:pPr>
              <w:ind w:left="33"/>
              <w:rPr>
                <w:rFonts w:ascii="Arial" w:hAnsi="Arial" w:cs="Arial"/>
              </w:rPr>
            </w:pPr>
            <w:r w:rsidRPr="00C87EB1">
              <w:rPr>
                <w:rFonts w:ascii="Arial" w:hAnsi="Arial" w:cs="Arial"/>
              </w:rPr>
              <w:t>Where a complaint is upheld following investigation, any claim for compensation will be assessed by the relevant Director (or, following a review, the Review Panel) who will determine if the complainant should receive an ex gratia payment and the amount, based on the inconvenience or loss suffered.</w:t>
            </w: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505" w:hanging="505"/>
              <w:rPr>
                <w:rFonts w:ascii="Arial" w:hAnsi="Arial" w:cs="Arial"/>
              </w:rPr>
            </w:pPr>
          </w:p>
        </w:tc>
        <w:tc>
          <w:tcPr>
            <w:tcW w:w="9011" w:type="dxa"/>
            <w:shd w:val="clear" w:color="auto" w:fill="auto"/>
          </w:tcPr>
          <w:p w:rsidR="00C87EB1" w:rsidRPr="00C87EB1" w:rsidRDefault="00C87EB1" w:rsidP="00B976AC">
            <w:pPr>
              <w:rPr>
                <w:rFonts w:ascii="Arial" w:hAnsi="Arial" w:cs="Arial"/>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2"/>
                <w:numId w:val="5"/>
              </w:numPr>
              <w:ind w:left="505" w:hanging="505"/>
              <w:rPr>
                <w:rFonts w:ascii="Arial" w:hAnsi="Arial" w:cs="Arial"/>
              </w:rPr>
            </w:pPr>
          </w:p>
        </w:tc>
        <w:tc>
          <w:tcPr>
            <w:tcW w:w="9011" w:type="dxa"/>
            <w:shd w:val="clear" w:color="auto" w:fill="auto"/>
          </w:tcPr>
          <w:p w:rsidR="00A760A8" w:rsidRDefault="00B976AC" w:rsidP="00B976AC">
            <w:pPr>
              <w:rPr>
                <w:rFonts w:ascii="Arial" w:hAnsi="Arial" w:cs="Arial"/>
              </w:rPr>
            </w:pPr>
            <w:r w:rsidRPr="00C87EB1">
              <w:rPr>
                <w:rFonts w:ascii="Arial" w:hAnsi="Arial" w:cs="Arial"/>
              </w:rPr>
              <w:t>The relevant Director may also authorise local managers to exercise their discretion (within certain financial and other guidelines to be laid down by the Group Chief Executive) to make a suitable ex gratia gesture of goodwill, where appropriate.</w:t>
            </w:r>
          </w:p>
          <w:p w:rsidR="00A760A8" w:rsidRDefault="00A760A8" w:rsidP="00B976AC">
            <w:pPr>
              <w:rPr>
                <w:rFonts w:ascii="Arial" w:hAnsi="Arial" w:cs="Arial"/>
              </w:rPr>
            </w:pPr>
          </w:p>
          <w:p w:rsidR="00A760A8" w:rsidRPr="00A760A8" w:rsidRDefault="00A760A8" w:rsidP="00A760A8">
            <w:pPr>
              <w:rPr>
                <w:rFonts w:ascii="Arial" w:hAnsi="Arial" w:cs="Arial"/>
              </w:rPr>
            </w:pPr>
            <w:r w:rsidRPr="00A760A8">
              <w:rPr>
                <w:rFonts w:ascii="Arial" w:hAnsi="Arial" w:cs="Arial"/>
              </w:rPr>
              <w:t>All decisions around compensation amounts should be made with reference to the guidance found on Connect.</w:t>
            </w: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792"/>
              <w:rPr>
                <w:rFonts w:ascii="Arial" w:hAnsi="Arial" w:cs="Arial"/>
              </w:rPr>
            </w:pPr>
          </w:p>
        </w:tc>
        <w:tc>
          <w:tcPr>
            <w:tcW w:w="9011" w:type="dxa"/>
            <w:shd w:val="clear" w:color="auto" w:fill="auto"/>
          </w:tcPr>
          <w:p w:rsidR="00C87EB1" w:rsidRPr="00C87EB1" w:rsidRDefault="00C87EB1" w:rsidP="00BC7992">
            <w:pPr>
              <w:ind w:left="33"/>
              <w:rPr>
                <w:rFonts w:ascii="Arial" w:hAnsi="Arial" w:cs="Arial"/>
                <w:b/>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1"/>
                <w:numId w:val="5"/>
              </w:numPr>
              <w:ind w:hanging="747"/>
              <w:rPr>
                <w:rFonts w:ascii="Arial" w:hAnsi="Arial" w:cs="Arial"/>
              </w:rPr>
            </w:pPr>
          </w:p>
        </w:tc>
        <w:tc>
          <w:tcPr>
            <w:tcW w:w="9011" w:type="dxa"/>
            <w:shd w:val="clear" w:color="auto" w:fill="auto"/>
          </w:tcPr>
          <w:p w:rsidR="00B976AC" w:rsidRPr="00C87EB1" w:rsidRDefault="00B976AC" w:rsidP="00BC7992">
            <w:pPr>
              <w:ind w:left="33"/>
              <w:rPr>
                <w:rFonts w:ascii="Arial" w:hAnsi="Arial" w:cs="Arial"/>
              </w:rPr>
            </w:pPr>
            <w:r w:rsidRPr="00C87EB1">
              <w:rPr>
                <w:rFonts w:ascii="Arial" w:hAnsi="Arial" w:cs="Arial"/>
                <w:b/>
              </w:rPr>
              <w:t>Learning from Feedback</w:t>
            </w:r>
          </w:p>
        </w:tc>
      </w:tr>
      <w:tr w:rsidR="00C87EB1" w:rsidRPr="00BA42AA" w:rsidTr="00C87EB1">
        <w:trPr>
          <w:trHeight w:val="250"/>
        </w:trPr>
        <w:tc>
          <w:tcPr>
            <w:tcW w:w="1135" w:type="dxa"/>
            <w:shd w:val="clear" w:color="auto" w:fill="auto"/>
          </w:tcPr>
          <w:p w:rsidR="00C87EB1" w:rsidRPr="00BC7992" w:rsidRDefault="00C87EB1" w:rsidP="00C87EB1">
            <w:pPr>
              <w:pStyle w:val="ListParagraph"/>
              <w:ind w:left="792"/>
              <w:rPr>
                <w:rFonts w:ascii="Arial" w:hAnsi="Arial" w:cs="Arial"/>
              </w:rPr>
            </w:pPr>
          </w:p>
        </w:tc>
        <w:tc>
          <w:tcPr>
            <w:tcW w:w="9011" w:type="dxa"/>
            <w:shd w:val="clear" w:color="auto" w:fill="auto"/>
          </w:tcPr>
          <w:p w:rsidR="00C87EB1" w:rsidRPr="00C87EB1" w:rsidRDefault="00C87EB1" w:rsidP="00B976AC">
            <w:pPr>
              <w:ind w:left="33"/>
              <w:rPr>
                <w:rFonts w:ascii="Arial" w:hAnsi="Arial" w:cs="Arial"/>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2"/>
                <w:numId w:val="5"/>
              </w:numPr>
              <w:ind w:left="505" w:hanging="505"/>
              <w:rPr>
                <w:rFonts w:ascii="Arial" w:hAnsi="Arial" w:cs="Arial"/>
              </w:rPr>
            </w:pPr>
          </w:p>
        </w:tc>
        <w:tc>
          <w:tcPr>
            <w:tcW w:w="9011" w:type="dxa"/>
            <w:shd w:val="clear" w:color="auto" w:fill="auto"/>
          </w:tcPr>
          <w:p w:rsidR="00B976AC" w:rsidRPr="00C87EB1" w:rsidRDefault="00B976AC" w:rsidP="00EC4116">
            <w:pPr>
              <w:ind w:left="33"/>
              <w:rPr>
                <w:rFonts w:ascii="Arial" w:hAnsi="Arial" w:cs="Arial"/>
              </w:rPr>
            </w:pPr>
            <w:r w:rsidRPr="00C87EB1">
              <w:rPr>
                <w:rFonts w:ascii="Arial" w:hAnsi="Arial" w:cs="Arial"/>
              </w:rPr>
              <w:t xml:space="preserve">In cases where customer feedback identifies a policy or procedural problem (i.e. not service delivery), we will consider the situation and, where appropriate, amend practice accordingly.  We will inform the customer of the change and thank them for their input.  </w:t>
            </w:r>
          </w:p>
        </w:tc>
      </w:tr>
      <w:tr w:rsidR="00C87EB1" w:rsidRPr="00BA42AA" w:rsidTr="00C87EB1">
        <w:trPr>
          <w:trHeight w:val="250"/>
        </w:trPr>
        <w:tc>
          <w:tcPr>
            <w:tcW w:w="1135" w:type="dxa"/>
            <w:shd w:val="clear" w:color="auto" w:fill="auto"/>
          </w:tcPr>
          <w:p w:rsidR="00C87EB1" w:rsidRPr="00C87EB1" w:rsidRDefault="00C87EB1" w:rsidP="00C87EB1">
            <w:pPr>
              <w:ind w:left="360"/>
              <w:rPr>
                <w:rFonts w:ascii="Arial" w:hAnsi="Arial" w:cs="Arial"/>
              </w:rPr>
            </w:pPr>
          </w:p>
        </w:tc>
        <w:tc>
          <w:tcPr>
            <w:tcW w:w="9011" w:type="dxa"/>
            <w:shd w:val="clear" w:color="auto" w:fill="auto"/>
          </w:tcPr>
          <w:p w:rsidR="00C87EB1" w:rsidRPr="00C87EB1" w:rsidRDefault="00C87EB1" w:rsidP="00B976AC">
            <w:pPr>
              <w:tabs>
                <w:tab w:val="left" w:pos="0"/>
                <w:tab w:val="left" w:pos="720"/>
              </w:tabs>
              <w:rPr>
                <w:rFonts w:ascii="Arial" w:hAnsi="Arial" w:cs="Arial"/>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2"/>
                <w:numId w:val="5"/>
              </w:numPr>
              <w:ind w:left="505" w:hanging="505"/>
              <w:rPr>
                <w:rFonts w:ascii="Arial" w:hAnsi="Arial" w:cs="Arial"/>
              </w:rPr>
            </w:pPr>
          </w:p>
        </w:tc>
        <w:tc>
          <w:tcPr>
            <w:tcW w:w="9011" w:type="dxa"/>
            <w:shd w:val="clear" w:color="auto" w:fill="auto"/>
          </w:tcPr>
          <w:p w:rsidR="00B976AC" w:rsidRPr="00C87EB1" w:rsidRDefault="00B976AC" w:rsidP="00B976AC">
            <w:pPr>
              <w:tabs>
                <w:tab w:val="left" w:pos="0"/>
                <w:tab w:val="left" w:pos="720"/>
              </w:tabs>
              <w:rPr>
                <w:rFonts w:ascii="Arial" w:hAnsi="Arial" w:cs="Arial"/>
              </w:rPr>
            </w:pPr>
            <w:r w:rsidRPr="00C87EB1">
              <w:rPr>
                <w:rFonts w:ascii="Arial" w:hAnsi="Arial" w:cs="Arial"/>
              </w:rPr>
              <w:t xml:space="preserve">We will ensure that trends/patterns in customer feedback are identified and any lessons learnt from customer feedback are acted upon and reported to the Performance Management Group and the Board in order to identify appropriate changes in practice and service improvements. </w:t>
            </w:r>
          </w:p>
        </w:tc>
      </w:tr>
      <w:tr w:rsidR="00C87EB1" w:rsidRPr="00BA42AA" w:rsidTr="00C87EB1">
        <w:trPr>
          <w:trHeight w:val="250"/>
        </w:trPr>
        <w:tc>
          <w:tcPr>
            <w:tcW w:w="1135" w:type="dxa"/>
            <w:shd w:val="clear" w:color="auto" w:fill="auto"/>
          </w:tcPr>
          <w:p w:rsidR="00C87EB1" w:rsidRPr="00C87EB1" w:rsidRDefault="00C87EB1" w:rsidP="00C87EB1">
            <w:pPr>
              <w:ind w:left="505" w:hanging="505"/>
              <w:rPr>
                <w:rFonts w:ascii="Arial" w:hAnsi="Arial" w:cs="Arial"/>
              </w:rPr>
            </w:pPr>
          </w:p>
        </w:tc>
        <w:tc>
          <w:tcPr>
            <w:tcW w:w="9011" w:type="dxa"/>
            <w:shd w:val="clear" w:color="auto" w:fill="auto"/>
          </w:tcPr>
          <w:p w:rsidR="00C87EB1" w:rsidRPr="00C87EB1" w:rsidRDefault="00C87EB1" w:rsidP="00B976AC">
            <w:pPr>
              <w:ind w:left="33"/>
              <w:rPr>
                <w:rFonts w:ascii="Arial" w:hAnsi="Arial" w:cs="Arial"/>
              </w:rPr>
            </w:pPr>
          </w:p>
        </w:tc>
      </w:tr>
      <w:tr w:rsidR="00B976AC" w:rsidRPr="00BA42AA" w:rsidTr="00C87EB1">
        <w:trPr>
          <w:trHeight w:val="250"/>
        </w:trPr>
        <w:tc>
          <w:tcPr>
            <w:tcW w:w="1135" w:type="dxa"/>
            <w:shd w:val="clear" w:color="auto" w:fill="auto"/>
          </w:tcPr>
          <w:p w:rsidR="00B976AC" w:rsidRPr="00BC7992" w:rsidRDefault="00B976AC" w:rsidP="00885C12">
            <w:pPr>
              <w:pStyle w:val="ListParagraph"/>
              <w:numPr>
                <w:ilvl w:val="2"/>
                <w:numId w:val="5"/>
              </w:numPr>
              <w:ind w:left="505" w:hanging="505"/>
              <w:rPr>
                <w:rFonts w:ascii="Arial" w:hAnsi="Arial" w:cs="Arial"/>
              </w:rPr>
            </w:pPr>
          </w:p>
        </w:tc>
        <w:tc>
          <w:tcPr>
            <w:tcW w:w="9011" w:type="dxa"/>
            <w:shd w:val="clear" w:color="auto" w:fill="auto"/>
          </w:tcPr>
          <w:p w:rsidR="00B976AC" w:rsidRPr="00C87EB1" w:rsidRDefault="00B976AC" w:rsidP="009922DB">
            <w:pPr>
              <w:ind w:left="33"/>
              <w:rPr>
                <w:rFonts w:ascii="Arial" w:hAnsi="Arial" w:cs="Arial"/>
              </w:rPr>
            </w:pPr>
            <w:r w:rsidRPr="00C87EB1">
              <w:rPr>
                <w:rFonts w:ascii="Arial" w:hAnsi="Arial" w:cs="Arial"/>
              </w:rPr>
              <w:t xml:space="preserve">Publicity of the customer feedback service and summaries of feedback received will be given through </w:t>
            </w:r>
            <w:r w:rsidR="009922DB">
              <w:rPr>
                <w:rFonts w:ascii="Arial" w:hAnsi="Arial" w:cs="Arial"/>
              </w:rPr>
              <w:t xml:space="preserve">various </w:t>
            </w:r>
            <w:r w:rsidRPr="00C87EB1">
              <w:rPr>
                <w:rFonts w:ascii="Arial" w:hAnsi="Arial" w:cs="Arial"/>
              </w:rPr>
              <w:t>communications</w:t>
            </w:r>
            <w:r w:rsidR="009922DB">
              <w:rPr>
                <w:rFonts w:ascii="Arial" w:hAnsi="Arial" w:cs="Arial"/>
              </w:rPr>
              <w:t>.</w:t>
            </w:r>
          </w:p>
        </w:tc>
      </w:tr>
      <w:tr w:rsidR="00D50108" w:rsidRPr="00BA42AA" w:rsidTr="00C87EB1">
        <w:trPr>
          <w:trHeight w:val="250"/>
        </w:trPr>
        <w:tc>
          <w:tcPr>
            <w:tcW w:w="1135" w:type="dxa"/>
            <w:shd w:val="clear" w:color="auto" w:fill="auto"/>
          </w:tcPr>
          <w:p w:rsidR="00D50108" w:rsidRPr="00BC7992" w:rsidRDefault="00D50108" w:rsidP="00B8298D">
            <w:pPr>
              <w:pStyle w:val="ListParagraph"/>
              <w:ind w:left="360" w:hanging="747"/>
              <w:rPr>
                <w:rFonts w:ascii="Arial" w:hAnsi="Arial" w:cs="Arial"/>
                <w:b/>
              </w:rPr>
            </w:pPr>
          </w:p>
        </w:tc>
        <w:tc>
          <w:tcPr>
            <w:tcW w:w="9011" w:type="dxa"/>
            <w:shd w:val="clear" w:color="auto" w:fill="auto"/>
          </w:tcPr>
          <w:p w:rsidR="00D50108" w:rsidRPr="00BA42AA" w:rsidRDefault="00D50108" w:rsidP="00D50108">
            <w:pPr>
              <w:rPr>
                <w:rFonts w:ascii="Arial" w:hAnsi="Arial" w:cs="Arial"/>
                <w:b/>
              </w:rPr>
            </w:pPr>
          </w:p>
        </w:tc>
      </w:tr>
      <w:tr w:rsidR="00D50108" w:rsidRPr="00BA42AA" w:rsidTr="00C87EB1">
        <w:trPr>
          <w:trHeight w:val="250"/>
        </w:trPr>
        <w:tc>
          <w:tcPr>
            <w:tcW w:w="1135" w:type="dxa"/>
            <w:shd w:val="clear" w:color="auto" w:fill="auto"/>
          </w:tcPr>
          <w:p w:rsidR="00D50108" w:rsidRPr="00BC7992" w:rsidRDefault="00D50108" w:rsidP="00885C12">
            <w:pPr>
              <w:pStyle w:val="ListParagraph"/>
              <w:numPr>
                <w:ilvl w:val="0"/>
                <w:numId w:val="5"/>
              </w:numPr>
              <w:rPr>
                <w:rFonts w:ascii="Arial" w:hAnsi="Arial" w:cs="Arial"/>
                <w:b/>
              </w:rPr>
            </w:pPr>
          </w:p>
        </w:tc>
        <w:tc>
          <w:tcPr>
            <w:tcW w:w="9011" w:type="dxa"/>
            <w:shd w:val="clear" w:color="auto" w:fill="auto"/>
          </w:tcPr>
          <w:p w:rsidR="00D50108" w:rsidRPr="00BA42AA" w:rsidRDefault="00D50108" w:rsidP="00D50108">
            <w:pPr>
              <w:rPr>
                <w:rFonts w:ascii="Arial" w:hAnsi="Arial" w:cs="Arial"/>
                <w:b/>
              </w:rPr>
            </w:pPr>
            <w:r w:rsidRPr="00BA42AA">
              <w:rPr>
                <w:rFonts w:ascii="Arial" w:hAnsi="Arial" w:cs="Arial"/>
                <w:b/>
              </w:rPr>
              <w:t>MONITORING, CONSULTATION AND REVIEW</w:t>
            </w:r>
          </w:p>
          <w:p w:rsidR="00D50108" w:rsidRPr="00BA42AA" w:rsidRDefault="00D50108" w:rsidP="00D50108">
            <w:pPr>
              <w:rPr>
                <w:rFonts w:ascii="Arial" w:hAnsi="Arial" w:cs="Arial"/>
                <w:b/>
              </w:rPr>
            </w:pPr>
          </w:p>
        </w:tc>
      </w:tr>
      <w:tr w:rsidR="00D50108" w:rsidRPr="00BA42AA" w:rsidTr="00C87EB1">
        <w:tc>
          <w:tcPr>
            <w:tcW w:w="1135" w:type="dxa"/>
            <w:shd w:val="clear" w:color="auto" w:fill="auto"/>
          </w:tcPr>
          <w:p w:rsidR="00D50108" w:rsidRPr="00BC7992" w:rsidRDefault="00D50108" w:rsidP="00885C12">
            <w:pPr>
              <w:pStyle w:val="ListParagraph"/>
              <w:numPr>
                <w:ilvl w:val="1"/>
                <w:numId w:val="5"/>
              </w:numPr>
              <w:ind w:hanging="747"/>
              <w:rPr>
                <w:rFonts w:ascii="Arial" w:hAnsi="Arial" w:cs="Arial"/>
              </w:rPr>
            </w:pPr>
          </w:p>
        </w:tc>
        <w:tc>
          <w:tcPr>
            <w:tcW w:w="9011" w:type="dxa"/>
            <w:shd w:val="clear" w:color="auto" w:fill="auto"/>
          </w:tcPr>
          <w:p w:rsidR="00D50108" w:rsidRPr="00C87EB1" w:rsidRDefault="00C87EB1" w:rsidP="009922DB">
            <w:pPr>
              <w:tabs>
                <w:tab w:val="left" w:pos="0"/>
              </w:tabs>
              <w:rPr>
                <w:rFonts w:ascii="Arial" w:hAnsi="Arial" w:cs="Arial"/>
              </w:rPr>
            </w:pPr>
            <w:r w:rsidRPr="00C87EB1">
              <w:rPr>
                <w:rFonts w:ascii="Arial" w:hAnsi="Arial" w:cs="Arial"/>
              </w:rPr>
              <w:t xml:space="preserve">The </w:t>
            </w:r>
            <w:r w:rsidR="009922DB">
              <w:rPr>
                <w:rFonts w:ascii="Arial" w:hAnsi="Arial" w:cs="Arial"/>
              </w:rPr>
              <w:t xml:space="preserve">Board </w:t>
            </w:r>
            <w:r w:rsidRPr="00C87EB1">
              <w:rPr>
                <w:rFonts w:ascii="Arial" w:hAnsi="Arial" w:cs="Arial"/>
              </w:rPr>
              <w:t xml:space="preserve">will receive regular reports on the performance against agreed targets and indicators.  </w:t>
            </w:r>
          </w:p>
        </w:tc>
      </w:tr>
      <w:tr w:rsidR="00616484" w:rsidRPr="00BA42AA" w:rsidTr="00C87EB1">
        <w:tc>
          <w:tcPr>
            <w:tcW w:w="1135" w:type="dxa"/>
            <w:shd w:val="clear" w:color="auto" w:fill="auto"/>
          </w:tcPr>
          <w:p w:rsidR="00616484" w:rsidRPr="00BC7992" w:rsidRDefault="00616484" w:rsidP="00B8298D">
            <w:pPr>
              <w:pStyle w:val="ListParagraph"/>
              <w:ind w:left="360" w:hanging="747"/>
              <w:rPr>
                <w:rFonts w:ascii="Arial" w:hAnsi="Arial" w:cs="Arial"/>
              </w:rPr>
            </w:pPr>
          </w:p>
        </w:tc>
        <w:tc>
          <w:tcPr>
            <w:tcW w:w="9011" w:type="dxa"/>
            <w:shd w:val="clear" w:color="auto" w:fill="auto"/>
          </w:tcPr>
          <w:p w:rsidR="00616484" w:rsidRPr="00C87EB1" w:rsidRDefault="00616484" w:rsidP="00D50108">
            <w:pPr>
              <w:rPr>
                <w:rFonts w:ascii="Arial" w:hAnsi="Arial" w:cs="Arial"/>
              </w:rPr>
            </w:pPr>
          </w:p>
        </w:tc>
      </w:tr>
      <w:tr w:rsidR="00D50108" w:rsidRPr="00BA42AA" w:rsidTr="00C87EB1">
        <w:tc>
          <w:tcPr>
            <w:tcW w:w="1135" w:type="dxa"/>
            <w:shd w:val="clear" w:color="auto" w:fill="auto"/>
          </w:tcPr>
          <w:p w:rsidR="00D50108" w:rsidRPr="00BC7992" w:rsidRDefault="00D50108" w:rsidP="00885C12">
            <w:pPr>
              <w:pStyle w:val="ListParagraph"/>
              <w:numPr>
                <w:ilvl w:val="1"/>
                <w:numId w:val="5"/>
              </w:numPr>
              <w:ind w:hanging="747"/>
              <w:rPr>
                <w:rFonts w:ascii="Arial" w:hAnsi="Arial" w:cs="Arial"/>
              </w:rPr>
            </w:pPr>
          </w:p>
        </w:tc>
        <w:tc>
          <w:tcPr>
            <w:tcW w:w="9011" w:type="dxa"/>
            <w:shd w:val="clear" w:color="auto" w:fill="auto"/>
          </w:tcPr>
          <w:p w:rsidR="00C87EB1" w:rsidRPr="00C87EB1" w:rsidRDefault="00C87EB1" w:rsidP="00C87EB1">
            <w:pPr>
              <w:tabs>
                <w:tab w:val="left" w:pos="0"/>
              </w:tabs>
              <w:rPr>
                <w:rFonts w:ascii="Arial" w:hAnsi="Arial" w:cs="Arial"/>
              </w:rPr>
            </w:pPr>
            <w:r w:rsidRPr="00C87EB1">
              <w:rPr>
                <w:rFonts w:ascii="Arial" w:hAnsi="Arial" w:cs="Arial"/>
              </w:rPr>
              <w:t xml:space="preserve">Key targets and Performance Indicators include:  </w:t>
            </w:r>
          </w:p>
          <w:p w:rsidR="00C87EB1" w:rsidRPr="00C87EB1" w:rsidRDefault="00C87EB1" w:rsidP="00C87EB1">
            <w:pPr>
              <w:tabs>
                <w:tab w:val="left" w:pos="0"/>
              </w:tabs>
              <w:rPr>
                <w:rFonts w:ascii="Arial" w:hAnsi="Arial" w:cs="Arial"/>
              </w:rPr>
            </w:pPr>
          </w:p>
          <w:p w:rsidR="00C87EB1" w:rsidRPr="00C87EB1" w:rsidRDefault="00A760A8" w:rsidP="00885C12">
            <w:pPr>
              <w:pStyle w:val="ListParagraph"/>
              <w:numPr>
                <w:ilvl w:val="0"/>
                <w:numId w:val="7"/>
              </w:numPr>
              <w:rPr>
                <w:rFonts w:ascii="Arial" w:hAnsi="Arial" w:cs="Arial"/>
                <w:lang w:val="en-US"/>
              </w:rPr>
            </w:pPr>
            <w:r>
              <w:rPr>
                <w:rFonts w:ascii="Arial" w:hAnsi="Arial" w:cs="Arial"/>
                <w:lang w:val="en-US"/>
              </w:rPr>
              <w:t>M</w:t>
            </w:r>
            <w:r w:rsidR="00C87EB1" w:rsidRPr="00C87EB1">
              <w:rPr>
                <w:rFonts w:ascii="Arial" w:hAnsi="Arial" w:cs="Arial"/>
                <w:lang w:val="en-US"/>
              </w:rPr>
              <w:t xml:space="preserve">onitoring information drawn together on a quarterly basis so that the Board is provided with a strategic view of feedback that highlights any </w:t>
            </w:r>
            <w:r w:rsidR="00C87EB1" w:rsidRPr="00C87EB1">
              <w:rPr>
                <w:rFonts w:ascii="Arial" w:hAnsi="Arial" w:cs="Arial"/>
                <w:lang w:val="en-US"/>
              </w:rPr>
              <w:lastRenderedPageBreak/>
              <w:t>trends and suggests possible improvements in areas of service provision or practices.</w:t>
            </w:r>
          </w:p>
          <w:p w:rsidR="00C87EB1" w:rsidRPr="00C87EB1" w:rsidRDefault="00A760A8" w:rsidP="00885C12">
            <w:pPr>
              <w:pStyle w:val="ListParagraph"/>
              <w:numPr>
                <w:ilvl w:val="0"/>
                <w:numId w:val="7"/>
              </w:numPr>
              <w:rPr>
                <w:rFonts w:ascii="Arial" w:hAnsi="Arial" w:cs="Arial"/>
                <w:lang w:val="en-US"/>
              </w:rPr>
            </w:pPr>
            <w:r>
              <w:rPr>
                <w:rFonts w:ascii="Arial" w:hAnsi="Arial" w:cs="Arial"/>
                <w:lang w:val="en-US"/>
              </w:rPr>
              <w:t>T</w:t>
            </w:r>
            <w:r w:rsidR="00C87EB1" w:rsidRPr="00C87EB1">
              <w:rPr>
                <w:rFonts w:ascii="Arial" w:hAnsi="Arial" w:cs="Arial"/>
                <w:lang w:val="en-US"/>
              </w:rPr>
              <w:t xml:space="preserve">he number, subject of and response time to action complaints and feedback; the number of appeals with results and analysis of general feedback on </w:t>
            </w:r>
            <w:r w:rsidR="00A1286E">
              <w:rPr>
                <w:rFonts w:ascii="Arial" w:hAnsi="Arial" w:cs="Arial"/>
                <w:lang w:val="en-US"/>
              </w:rPr>
              <w:t>Alliance Homes Group Group</w:t>
            </w:r>
            <w:r w:rsidR="00C87EB1" w:rsidRPr="00C87EB1">
              <w:rPr>
                <w:rFonts w:ascii="Arial" w:hAnsi="Arial" w:cs="Arial"/>
                <w:lang w:val="en-US"/>
              </w:rPr>
              <w:t xml:space="preserve"> services.</w:t>
            </w:r>
          </w:p>
          <w:p w:rsidR="00D50108" w:rsidRDefault="00A760A8" w:rsidP="009922DB">
            <w:pPr>
              <w:pStyle w:val="ListParagraph"/>
              <w:numPr>
                <w:ilvl w:val="0"/>
                <w:numId w:val="7"/>
              </w:numPr>
              <w:rPr>
                <w:rFonts w:ascii="Arial" w:hAnsi="Arial" w:cs="Arial"/>
                <w:lang w:val="en-US"/>
              </w:rPr>
            </w:pPr>
            <w:r>
              <w:rPr>
                <w:rFonts w:ascii="Arial" w:hAnsi="Arial" w:cs="Arial"/>
                <w:lang w:val="en-US"/>
              </w:rPr>
              <w:t>P</w:t>
            </w:r>
            <w:r w:rsidR="00C87EB1" w:rsidRPr="00C87EB1">
              <w:rPr>
                <w:rFonts w:ascii="Arial" w:hAnsi="Arial" w:cs="Arial"/>
                <w:lang w:val="en-US"/>
              </w:rPr>
              <w:t xml:space="preserve">ercentage of customers satisfied with the overall service provided by their landlord, as identified by the </w:t>
            </w:r>
            <w:r w:rsidR="009922DB">
              <w:rPr>
                <w:rFonts w:ascii="Arial" w:hAnsi="Arial" w:cs="Arial"/>
                <w:lang w:val="en-US"/>
              </w:rPr>
              <w:t>Customer Satisfaction</w:t>
            </w:r>
            <w:r w:rsidR="00C87EB1" w:rsidRPr="00C87EB1">
              <w:rPr>
                <w:rFonts w:ascii="Arial" w:hAnsi="Arial" w:cs="Arial"/>
                <w:lang w:val="en-US"/>
              </w:rPr>
              <w:t xml:space="preserve"> survey</w:t>
            </w:r>
          </w:p>
          <w:p w:rsidR="00A760A8" w:rsidRPr="00C87EB1" w:rsidRDefault="00A760A8" w:rsidP="00A760A8">
            <w:pPr>
              <w:pStyle w:val="ListParagraph"/>
              <w:numPr>
                <w:ilvl w:val="0"/>
                <w:numId w:val="7"/>
              </w:numPr>
              <w:rPr>
                <w:rFonts w:ascii="Arial" w:hAnsi="Arial" w:cs="Arial"/>
                <w:lang w:val="en-US"/>
              </w:rPr>
            </w:pPr>
            <w:r>
              <w:rPr>
                <w:rFonts w:ascii="Arial" w:hAnsi="Arial" w:cs="Arial"/>
                <w:lang w:val="en-US"/>
              </w:rPr>
              <w:t>Number of complaints dealt with by the Ombudsman</w:t>
            </w:r>
          </w:p>
        </w:tc>
      </w:tr>
      <w:tr w:rsidR="00616484" w:rsidRPr="00BA42AA" w:rsidTr="00C87EB1">
        <w:tc>
          <w:tcPr>
            <w:tcW w:w="1135" w:type="dxa"/>
            <w:shd w:val="clear" w:color="auto" w:fill="auto"/>
          </w:tcPr>
          <w:p w:rsidR="00616484" w:rsidRPr="00BC7992" w:rsidRDefault="00616484" w:rsidP="00B8298D">
            <w:pPr>
              <w:pStyle w:val="ListParagraph"/>
              <w:ind w:left="360" w:hanging="747"/>
              <w:rPr>
                <w:rFonts w:ascii="Arial" w:hAnsi="Arial" w:cs="Arial"/>
              </w:rPr>
            </w:pPr>
          </w:p>
        </w:tc>
        <w:tc>
          <w:tcPr>
            <w:tcW w:w="9011" w:type="dxa"/>
            <w:shd w:val="clear" w:color="auto" w:fill="auto"/>
          </w:tcPr>
          <w:p w:rsidR="00616484" w:rsidRPr="00C87EB1" w:rsidRDefault="00616484" w:rsidP="00D50108">
            <w:pPr>
              <w:rPr>
                <w:rFonts w:ascii="Arial" w:hAnsi="Arial" w:cs="Arial"/>
              </w:rPr>
            </w:pPr>
          </w:p>
        </w:tc>
      </w:tr>
      <w:tr w:rsidR="00D50108" w:rsidRPr="00BA42AA" w:rsidTr="00C87EB1">
        <w:tc>
          <w:tcPr>
            <w:tcW w:w="1135" w:type="dxa"/>
            <w:shd w:val="clear" w:color="auto" w:fill="auto"/>
          </w:tcPr>
          <w:p w:rsidR="00D50108" w:rsidRPr="00BC7992" w:rsidRDefault="00D50108" w:rsidP="00885C12">
            <w:pPr>
              <w:pStyle w:val="ListParagraph"/>
              <w:numPr>
                <w:ilvl w:val="1"/>
                <w:numId w:val="5"/>
              </w:numPr>
              <w:ind w:hanging="747"/>
              <w:rPr>
                <w:rFonts w:ascii="Arial" w:hAnsi="Arial" w:cs="Arial"/>
              </w:rPr>
            </w:pPr>
          </w:p>
        </w:tc>
        <w:tc>
          <w:tcPr>
            <w:tcW w:w="9011" w:type="dxa"/>
            <w:shd w:val="clear" w:color="auto" w:fill="auto"/>
          </w:tcPr>
          <w:p w:rsidR="00D50108" w:rsidRPr="00C87EB1" w:rsidRDefault="00C87EB1" w:rsidP="00C87EB1">
            <w:pPr>
              <w:rPr>
                <w:rFonts w:ascii="Arial" w:hAnsi="Arial" w:cs="Arial"/>
              </w:rPr>
            </w:pPr>
            <w:r w:rsidRPr="00C87EB1">
              <w:rPr>
                <w:rFonts w:ascii="Arial" w:hAnsi="Arial" w:cs="Arial"/>
              </w:rPr>
              <w:t xml:space="preserve">The Group Chief Executive and Executive Team will ensure that the complaints procedure is implemented, maintained and reviewed on a regular basis.  Steps will be taken to ensure that the views and experiences of customers and staff concerning the way in which complaints are handled are taken into account as part of the review process.   </w:t>
            </w:r>
          </w:p>
        </w:tc>
      </w:tr>
      <w:tr w:rsidR="00616484" w:rsidRPr="00BA42AA" w:rsidTr="00C87EB1">
        <w:tc>
          <w:tcPr>
            <w:tcW w:w="1135" w:type="dxa"/>
            <w:shd w:val="clear" w:color="auto" w:fill="auto"/>
          </w:tcPr>
          <w:p w:rsidR="00616484" w:rsidRPr="00BC7992" w:rsidRDefault="00616484" w:rsidP="00B8298D">
            <w:pPr>
              <w:pStyle w:val="ListParagraph"/>
              <w:ind w:left="360" w:hanging="747"/>
              <w:rPr>
                <w:rFonts w:ascii="Arial" w:hAnsi="Arial" w:cs="Arial"/>
              </w:rPr>
            </w:pPr>
          </w:p>
        </w:tc>
        <w:tc>
          <w:tcPr>
            <w:tcW w:w="9011" w:type="dxa"/>
            <w:shd w:val="clear" w:color="auto" w:fill="auto"/>
          </w:tcPr>
          <w:p w:rsidR="00616484" w:rsidRPr="00C87EB1" w:rsidRDefault="00616484" w:rsidP="00D50108">
            <w:pPr>
              <w:rPr>
                <w:rFonts w:ascii="Arial" w:hAnsi="Arial" w:cs="Arial"/>
              </w:rPr>
            </w:pPr>
          </w:p>
        </w:tc>
      </w:tr>
      <w:tr w:rsidR="00D50108" w:rsidRPr="00BA42AA" w:rsidTr="00C87EB1">
        <w:tc>
          <w:tcPr>
            <w:tcW w:w="1135" w:type="dxa"/>
            <w:shd w:val="clear" w:color="auto" w:fill="auto"/>
          </w:tcPr>
          <w:p w:rsidR="00D50108" w:rsidRPr="00BC7992" w:rsidRDefault="00D50108" w:rsidP="00885C12">
            <w:pPr>
              <w:pStyle w:val="ListParagraph"/>
              <w:numPr>
                <w:ilvl w:val="1"/>
                <w:numId w:val="5"/>
              </w:numPr>
              <w:ind w:hanging="747"/>
              <w:rPr>
                <w:rFonts w:ascii="Arial" w:hAnsi="Arial" w:cs="Arial"/>
              </w:rPr>
            </w:pPr>
          </w:p>
        </w:tc>
        <w:tc>
          <w:tcPr>
            <w:tcW w:w="9011" w:type="dxa"/>
            <w:shd w:val="clear" w:color="auto" w:fill="auto"/>
          </w:tcPr>
          <w:p w:rsidR="00D50108" w:rsidRPr="00C87EB1" w:rsidRDefault="00C87EB1" w:rsidP="00A91181">
            <w:pPr>
              <w:tabs>
                <w:tab w:val="left" w:pos="0"/>
              </w:tabs>
              <w:rPr>
                <w:rFonts w:ascii="Arial" w:hAnsi="Arial" w:cs="Arial"/>
              </w:rPr>
            </w:pPr>
            <w:r w:rsidRPr="00C87EB1">
              <w:rPr>
                <w:rFonts w:ascii="Arial" w:hAnsi="Arial" w:cs="Arial"/>
              </w:rPr>
              <w:t>The</w:t>
            </w:r>
            <w:r w:rsidR="009922DB">
              <w:rPr>
                <w:rFonts w:ascii="Arial" w:hAnsi="Arial" w:cs="Arial"/>
              </w:rPr>
              <w:t xml:space="preserve"> Housing Services Manager</w:t>
            </w:r>
            <w:r w:rsidRPr="00C87EB1">
              <w:rPr>
                <w:rFonts w:ascii="Arial" w:hAnsi="Arial" w:cs="Arial"/>
              </w:rPr>
              <w:t xml:space="preserve"> </w:t>
            </w:r>
            <w:r w:rsidR="009922DB">
              <w:rPr>
                <w:rFonts w:ascii="Arial" w:hAnsi="Arial" w:cs="Arial"/>
              </w:rPr>
              <w:t>(</w:t>
            </w:r>
            <w:r w:rsidRPr="00C87EB1">
              <w:rPr>
                <w:rFonts w:ascii="Arial" w:hAnsi="Arial" w:cs="Arial"/>
              </w:rPr>
              <w:t>Customer Services</w:t>
            </w:r>
            <w:r w:rsidR="009922DB">
              <w:rPr>
                <w:rFonts w:ascii="Arial" w:hAnsi="Arial" w:cs="Arial"/>
              </w:rPr>
              <w:t>)</w:t>
            </w:r>
            <w:r w:rsidRPr="00C87EB1">
              <w:rPr>
                <w:rFonts w:ascii="Arial" w:hAnsi="Arial" w:cs="Arial"/>
                <w:color w:val="FF0000"/>
              </w:rPr>
              <w:t xml:space="preserve"> </w:t>
            </w:r>
            <w:r w:rsidRPr="00C87EB1">
              <w:rPr>
                <w:rFonts w:ascii="Arial" w:hAnsi="Arial" w:cs="Arial"/>
              </w:rPr>
              <w:t>is responsible for ensuring that this policy is</w:t>
            </w:r>
            <w:r w:rsidR="00A91181">
              <w:rPr>
                <w:rFonts w:ascii="Arial" w:hAnsi="Arial" w:cs="Arial"/>
              </w:rPr>
              <w:t xml:space="preserve"> </w:t>
            </w:r>
            <w:r w:rsidRPr="00C87EB1">
              <w:rPr>
                <w:rFonts w:ascii="Arial" w:hAnsi="Arial" w:cs="Arial"/>
              </w:rPr>
              <w:t>reviewed within the published timescale.</w:t>
            </w:r>
          </w:p>
        </w:tc>
      </w:tr>
      <w:tr w:rsidR="00885C12" w:rsidRPr="00BA42AA" w:rsidTr="00C87EB1">
        <w:tc>
          <w:tcPr>
            <w:tcW w:w="1135" w:type="dxa"/>
            <w:shd w:val="clear" w:color="auto" w:fill="auto"/>
          </w:tcPr>
          <w:p w:rsidR="00885C12" w:rsidRPr="00BC7992" w:rsidRDefault="00885C12" w:rsidP="00885C12">
            <w:pPr>
              <w:pStyle w:val="ListParagraph"/>
              <w:ind w:left="792"/>
              <w:rPr>
                <w:rFonts w:ascii="Arial" w:hAnsi="Arial" w:cs="Arial"/>
              </w:rPr>
            </w:pPr>
          </w:p>
        </w:tc>
        <w:tc>
          <w:tcPr>
            <w:tcW w:w="9011" w:type="dxa"/>
            <w:shd w:val="clear" w:color="auto" w:fill="auto"/>
          </w:tcPr>
          <w:p w:rsidR="00885C12" w:rsidRPr="00C87EB1" w:rsidRDefault="00885C12" w:rsidP="00C87EB1">
            <w:pPr>
              <w:tabs>
                <w:tab w:val="left" w:pos="0"/>
              </w:tabs>
              <w:rPr>
                <w:rFonts w:ascii="Arial" w:hAnsi="Arial" w:cs="Arial"/>
              </w:rPr>
            </w:pPr>
          </w:p>
        </w:tc>
      </w:tr>
      <w:tr w:rsidR="00C87EB1" w:rsidRPr="00BA42AA" w:rsidTr="00C87EB1">
        <w:tc>
          <w:tcPr>
            <w:tcW w:w="1135" w:type="dxa"/>
            <w:shd w:val="clear" w:color="auto" w:fill="auto"/>
          </w:tcPr>
          <w:p w:rsidR="00C87EB1" w:rsidRPr="00BC7992" w:rsidRDefault="00C87EB1" w:rsidP="00885C12">
            <w:pPr>
              <w:pStyle w:val="ListParagraph"/>
              <w:numPr>
                <w:ilvl w:val="1"/>
                <w:numId w:val="5"/>
              </w:numPr>
              <w:ind w:hanging="747"/>
              <w:rPr>
                <w:rFonts w:ascii="Arial" w:hAnsi="Arial" w:cs="Arial"/>
              </w:rPr>
            </w:pPr>
          </w:p>
        </w:tc>
        <w:tc>
          <w:tcPr>
            <w:tcW w:w="9011" w:type="dxa"/>
            <w:shd w:val="clear" w:color="auto" w:fill="auto"/>
          </w:tcPr>
          <w:p w:rsidR="00C87EB1" w:rsidRDefault="00C87EB1" w:rsidP="00C87EB1">
            <w:pPr>
              <w:tabs>
                <w:tab w:val="left" w:pos="0"/>
              </w:tabs>
              <w:rPr>
                <w:rFonts w:ascii="Arial" w:hAnsi="Arial" w:cs="Arial"/>
              </w:rPr>
            </w:pPr>
            <w:r w:rsidRPr="00C87EB1">
              <w:rPr>
                <w:rFonts w:ascii="Arial" w:hAnsi="Arial" w:cs="Arial"/>
              </w:rPr>
              <w:t xml:space="preserve">In line with our involvement policy, </w:t>
            </w:r>
            <w:r w:rsidR="009922DB">
              <w:rPr>
                <w:rFonts w:ascii="Arial" w:hAnsi="Arial" w:cs="Arial"/>
              </w:rPr>
              <w:t>Customers and Staff</w:t>
            </w:r>
            <w:r w:rsidRPr="00C87EB1">
              <w:rPr>
                <w:rFonts w:ascii="Arial" w:hAnsi="Arial" w:cs="Arial"/>
              </w:rPr>
              <w:t xml:space="preserve"> will be included in:</w:t>
            </w:r>
          </w:p>
          <w:p w:rsidR="00C87EB1" w:rsidRPr="00C87EB1" w:rsidRDefault="00C87EB1" w:rsidP="00C87EB1">
            <w:pPr>
              <w:tabs>
                <w:tab w:val="left" w:pos="0"/>
              </w:tabs>
              <w:rPr>
                <w:rFonts w:ascii="Arial" w:hAnsi="Arial" w:cs="Arial"/>
              </w:rPr>
            </w:pPr>
          </w:p>
          <w:p w:rsidR="00C87EB1" w:rsidRPr="00C87EB1" w:rsidRDefault="00C87EB1" w:rsidP="00885C12">
            <w:pPr>
              <w:pStyle w:val="ListParagraph"/>
              <w:numPr>
                <w:ilvl w:val="0"/>
                <w:numId w:val="8"/>
              </w:numPr>
              <w:rPr>
                <w:rFonts w:ascii="Arial" w:hAnsi="Arial" w:cs="Arial"/>
                <w:lang w:val="en-US"/>
              </w:rPr>
            </w:pPr>
            <w:r w:rsidRPr="00C87EB1">
              <w:rPr>
                <w:rFonts w:ascii="Arial" w:hAnsi="Arial" w:cs="Arial"/>
                <w:lang w:val="en-US"/>
              </w:rPr>
              <w:t>monitoring our performance</w:t>
            </w:r>
          </w:p>
          <w:p w:rsidR="00C87EB1" w:rsidRPr="00C87EB1" w:rsidRDefault="00C87EB1" w:rsidP="00885C12">
            <w:pPr>
              <w:pStyle w:val="ListParagraph"/>
              <w:numPr>
                <w:ilvl w:val="0"/>
                <w:numId w:val="8"/>
              </w:numPr>
              <w:rPr>
                <w:rFonts w:ascii="Arial" w:hAnsi="Arial" w:cs="Arial"/>
                <w:lang w:val="en-US"/>
              </w:rPr>
            </w:pPr>
            <w:r w:rsidRPr="00C87EB1">
              <w:rPr>
                <w:rFonts w:ascii="Arial" w:hAnsi="Arial" w:cs="Arial"/>
                <w:lang w:val="en-US"/>
              </w:rPr>
              <w:t xml:space="preserve">reviewing this policy, in order to reflect their needs and priorities </w:t>
            </w:r>
          </w:p>
          <w:p w:rsidR="00C87EB1" w:rsidRPr="00C87EB1" w:rsidRDefault="00C87EB1" w:rsidP="00C87EB1">
            <w:pPr>
              <w:tabs>
                <w:tab w:val="left" w:pos="851"/>
                <w:tab w:val="left" w:pos="1058"/>
                <w:tab w:val="left" w:pos="1058"/>
              </w:tabs>
              <w:ind w:left="1009"/>
              <w:rPr>
                <w:rFonts w:ascii="Arial" w:hAnsi="Arial" w:cs="Arial"/>
                <w:lang w:val="en-US"/>
              </w:rPr>
            </w:pPr>
          </w:p>
          <w:p w:rsidR="00C87EB1" w:rsidRPr="00C87EB1" w:rsidRDefault="00C87EB1" w:rsidP="00C87EB1">
            <w:pPr>
              <w:jc w:val="both"/>
              <w:rPr>
                <w:rFonts w:ascii="Arial" w:hAnsi="Arial" w:cs="Arial"/>
                <w:lang w:val="en-US"/>
              </w:rPr>
            </w:pPr>
            <w:r w:rsidRPr="00C87EB1">
              <w:rPr>
                <w:rFonts w:ascii="Arial" w:hAnsi="Arial" w:cs="Arial"/>
                <w:lang w:val="en-US"/>
              </w:rPr>
              <w:t>Further details about how this will be achieved are set out in separate tenant and leaseholder involvement agreements.</w:t>
            </w:r>
          </w:p>
        </w:tc>
      </w:tr>
      <w:tr w:rsidR="00C87EB1" w:rsidRPr="00BA42AA" w:rsidTr="00C87EB1">
        <w:tc>
          <w:tcPr>
            <w:tcW w:w="1135" w:type="dxa"/>
            <w:shd w:val="clear" w:color="auto" w:fill="auto"/>
          </w:tcPr>
          <w:p w:rsidR="00C87EB1" w:rsidRPr="00BC7992" w:rsidRDefault="00C87EB1" w:rsidP="00C87EB1">
            <w:pPr>
              <w:pStyle w:val="ListParagraph"/>
              <w:ind w:left="792"/>
              <w:rPr>
                <w:rFonts w:ascii="Arial" w:hAnsi="Arial" w:cs="Arial"/>
              </w:rPr>
            </w:pPr>
          </w:p>
        </w:tc>
        <w:tc>
          <w:tcPr>
            <w:tcW w:w="9011" w:type="dxa"/>
            <w:shd w:val="clear" w:color="auto" w:fill="auto"/>
          </w:tcPr>
          <w:p w:rsidR="00C87EB1" w:rsidRPr="00C87EB1" w:rsidRDefault="00C87EB1" w:rsidP="00C87EB1">
            <w:pPr>
              <w:rPr>
                <w:rFonts w:ascii="Arial" w:hAnsi="Arial" w:cs="Arial"/>
              </w:rPr>
            </w:pPr>
          </w:p>
        </w:tc>
      </w:tr>
      <w:tr w:rsidR="00C87EB1" w:rsidRPr="00BA42AA" w:rsidTr="00C87EB1">
        <w:tc>
          <w:tcPr>
            <w:tcW w:w="1135" w:type="dxa"/>
            <w:shd w:val="clear" w:color="auto" w:fill="auto"/>
          </w:tcPr>
          <w:p w:rsidR="00C87EB1" w:rsidRPr="00BC7992" w:rsidRDefault="00C87EB1" w:rsidP="00885C12">
            <w:pPr>
              <w:pStyle w:val="ListParagraph"/>
              <w:numPr>
                <w:ilvl w:val="1"/>
                <w:numId w:val="5"/>
              </w:numPr>
              <w:ind w:hanging="747"/>
              <w:rPr>
                <w:rFonts w:ascii="Arial" w:hAnsi="Arial" w:cs="Arial"/>
              </w:rPr>
            </w:pPr>
          </w:p>
        </w:tc>
        <w:tc>
          <w:tcPr>
            <w:tcW w:w="9011" w:type="dxa"/>
            <w:shd w:val="clear" w:color="auto" w:fill="auto"/>
          </w:tcPr>
          <w:p w:rsidR="00C87EB1" w:rsidRPr="00C87EB1" w:rsidRDefault="00C87EB1" w:rsidP="009922DB">
            <w:pPr>
              <w:rPr>
                <w:rFonts w:ascii="Arial" w:hAnsi="Arial" w:cs="Arial"/>
              </w:rPr>
            </w:pPr>
            <w:r w:rsidRPr="00C87EB1">
              <w:rPr>
                <w:rFonts w:ascii="Arial" w:hAnsi="Arial" w:cs="Arial"/>
              </w:rPr>
              <w:t xml:space="preserve">Failure by staff to observe the standards set out in this policy will be taken seriously and investigated </w:t>
            </w:r>
            <w:r w:rsidR="009922DB">
              <w:rPr>
                <w:rFonts w:ascii="Arial" w:hAnsi="Arial" w:cs="Arial"/>
              </w:rPr>
              <w:t>in line with the performance and conduct policy</w:t>
            </w:r>
            <w:r w:rsidRPr="00C87EB1">
              <w:rPr>
                <w:rFonts w:ascii="Arial" w:hAnsi="Arial" w:cs="Arial"/>
              </w:rPr>
              <w:t xml:space="preserve">.  </w:t>
            </w:r>
          </w:p>
        </w:tc>
      </w:tr>
      <w:tr w:rsidR="00C87EB1" w:rsidRPr="00BA42AA" w:rsidTr="00C87EB1">
        <w:tc>
          <w:tcPr>
            <w:tcW w:w="1135" w:type="dxa"/>
            <w:shd w:val="clear" w:color="auto" w:fill="auto"/>
          </w:tcPr>
          <w:p w:rsidR="00C87EB1" w:rsidRPr="00BC7992" w:rsidRDefault="00C87EB1" w:rsidP="00C87EB1">
            <w:pPr>
              <w:pStyle w:val="ListParagraph"/>
              <w:ind w:left="792"/>
              <w:rPr>
                <w:rFonts w:ascii="Arial" w:hAnsi="Arial" w:cs="Arial"/>
              </w:rPr>
            </w:pPr>
          </w:p>
        </w:tc>
        <w:tc>
          <w:tcPr>
            <w:tcW w:w="9011" w:type="dxa"/>
            <w:shd w:val="clear" w:color="auto" w:fill="auto"/>
          </w:tcPr>
          <w:p w:rsidR="00C87EB1" w:rsidRPr="00C87EB1" w:rsidRDefault="00C87EB1" w:rsidP="00D50108">
            <w:pPr>
              <w:rPr>
                <w:rFonts w:ascii="Arial" w:hAnsi="Arial" w:cs="Arial"/>
              </w:rPr>
            </w:pPr>
          </w:p>
        </w:tc>
      </w:tr>
      <w:tr w:rsidR="00C87EB1" w:rsidRPr="00BA42AA" w:rsidTr="00C87EB1">
        <w:tc>
          <w:tcPr>
            <w:tcW w:w="1135" w:type="dxa"/>
            <w:shd w:val="clear" w:color="auto" w:fill="auto"/>
          </w:tcPr>
          <w:p w:rsidR="00C87EB1" w:rsidRPr="00BC7992" w:rsidRDefault="00C87EB1" w:rsidP="00885C12">
            <w:pPr>
              <w:pStyle w:val="ListParagraph"/>
              <w:numPr>
                <w:ilvl w:val="1"/>
                <w:numId w:val="5"/>
              </w:numPr>
              <w:ind w:hanging="747"/>
              <w:rPr>
                <w:rFonts w:ascii="Arial" w:hAnsi="Arial" w:cs="Arial"/>
              </w:rPr>
            </w:pPr>
          </w:p>
        </w:tc>
        <w:tc>
          <w:tcPr>
            <w:tcW w:w="9011" w:type="dxa"/>
            <w:shd w:val="clear" w:color="auto" w:fill="auto"/>
          </w:tcPr>
          <w:p w:rsidR="00C87EB1" w:rsidRPr="00C87EB1" w:rsidRDefault="00C87EB1" w:rsidP="00D50108">
            <w:pPr>
              <w:rPr>
                <w:rFonts w:ascii="Arial" w:hAnsi="Arial" w:cs="Arial"/>
              </w:rPr>
            </w:pPr>
            <w:r w:rsidRPr="00C87EB1">
              <w:rPr>
                <w:rFonts w:ascii="Arial" w:hAnsi="Arial" w:cs="Arial"/>
              </w:rPr>
              <w:t xml:space="preserve">This policy will be reviewed </w:t>
            </w:r>
            <w:r w:rsidRPr="00C87EB1">
              <w:rPr>
                <w:rFonts w:ascii="Arial" w:hAnsi="Arial" w:cs="Arial"/>
                <w:lang w:val="en-US"/>
              </w:rPr>
              <w:t>every two years</w:t>
            </w:r>
            <w:r w:rsidRPr="00C87EB1">
              <w:rPr>
                <w:rFonts w:ascii="Arial" w:hAnsi="Arial" w:cs="Arial"/>
              </w:rPr>
              <w:t xml:space="preserve">.  </w:t>
            </w:r>
          </w:p>
        </w:tc>
      </w:tr>
      <w:tr w:rsidR="00D50108" w:rsidRPr="00BA42AA" w:rsidTr="00C87EB1">
        <w:tc>
          <w:tcPr>
            <w:tcW w:w="1135" w:type="dxa"/>
            <w:shd w:val="clear" w:color="auto" w:fill="auto"/>
          </w:tcPr>
          <w:p w:rsidR="00D50108" w:rsidRPr="00BC7992" w:rsidRDefault="00D50108" w:rsidP="00616484">
            <w:pPr>
              <w:pStyle w:val="ListParagraph"/>
              <w:ind w:left="360"/>
              <w:rPr>
                <w:rFonts w:ascii="Arial" w:hAnsi="Arial" w:cs="Arial"/>
                <w:b/>
              </w:rPr>
            </w:pPr>
          </w:p>
        </w:tc>
        <w:tc>
          <w:tcPr>
            <w:tcW w:w="9011" w:type="dxa"/>
            <w:shd w:val="clear" w:color="auto" w:fill="auto"/>
          </w:tcPr>
          <w:p w:rsidR="00D50108" w:rsidRPr="00C87EB1" w:rsidRDefault="00D50108" w:rsidP="00D50108">
            <w:pPr>
              <w:rPr>
                <w:rFonts w:ascii="Arial" w:hAnsi="Arial" w:cs="Arial"/>
                <w:b/>
              </w:rPr>
            </w:pPr>
          </w:p>
        </w:tc>
      </w:tr>
      <w:tr w:rsidR="00D50108" w:rsidRPr="00BA42AA" w:rsidTr="00C87EB1">
        <w:tc>
          <w:tcPr>
            <w:tcW w:w="1135" w:type="dxa"/>
            <w:shd w:val="clear" w:color="auto" w:fill="auto"/>
          </w:tcPr>
          <w:p w:rsidR="00D50108" w:rsidRPr="00BC7992" w:rsidRDefault="00D50108" w:rsidP="00885C12">
            <w:pPr>
              <w:pStyle w:val="ListParagraph"/>
              <w:numPr>
                <w:ilvl w:val="0"/>
                <w:numId w:val="5"/>
              </w:numPr>
              <w:rPr>
                <w:rFonts w:ascii="Arial" w:hAnsi="Arial" w:cs="Arial"/>
                <w:b/>
              </w:rPr>
            </w:pPr>
          </w:p>
        </w:tc>
        <w:tc>
          <w:tcPr>
            <w:tcW w:w="9011" w:type="dxa"/>
            <w:shd w:val="clear" w:color="auto" w:fill="auto"/>
          </w:tcPr>
          <w:p w:rsidR="00D50108" w:rsidRPr="00BA42AA" w:rsidRDefault="00D50108" w:rsidP="00D50108">
            <w:pPr>
              <w:rPr>
                <w:rFonts w:ascii="Arial" w:hAnsi="Arial" w:cs="Arial"/>
                <w:b/>
              </w:rPr>
            </w:pPr>
            <w:r w:rsidRPr="00BA42AA">
              <w:rPr>
                <w:rFonts w:ascii="Arial" w:hAnsi="Arial" w:cs="Arial"/>
                <w:b/>
              </w:rPr>
              <w:t>EQUALITY AND DIVERSITY</w:t>
            </w:r>
          </w:p>
          <w:p w:rsidR="00D50108" w:rsidRPr="00BA42AA" w:rsidRDefault="00D50108" w:rsidP="00D50108">
            <w:pPr>
              <w:rPr>
                <w:rFonts w:ascii="Arial" w:hAnsi="Arial" w:cs="Arial"/>
                <w:b/>
              </w:rPr>
            </w:pPr>
          </w:p>
        </w:tc>
      </w:tr>
      <w:tr w:rsidR="00D50108" w:rsidRPr="00BA42AA" w:rsidTr="00C87EB1">
        <w:tc>
          <w:tcPr>
            <w:tcW w:w="1135" w:type="dxa"/>
            <w:shd w:val="clear" w:color="auto" w:fill="auto"/>
          </w:tcPr>
          <w:p w:rsidR="00D50108" w:rsidRPr="00BC7992" w:rsidRDefault="00D50108" w:rsidP="00885C12">
            <w:pPr>
              <w:pStyle w:val="ListParagraph"/>
              <w:numPr>
                <w:ilvl w:val="1"/>
                <w:numId w:val="5"/>
              </w:numPr>
              <w:ind w:hanging="747"/>
              <w:rPr>
                <w:rFonts w:ascii="Arial" w:hAnsi="Arial" w:cs="Arial"/>
              </w:rPr>
            </w:pPr>
          </w:p>
        </w:tc>
        <w:tc>
          <w:tcPr>
            <w:tcW w:w="9011" w:type="dxa"/>
            <w:shd w:val="clear" w:color="auto" w:fill="auto"/>
          </w:tcPr>
          <w:p w:rsidR="001819DF" w:rsidRPr="00DB4751" w:rsidRDefault="00DB4751" w:rsidP="00DB4751">
            <w:pPr>
              <w:rPr>
                <w:rFonts w:ascii="Arial" w:hAnsi="Arial" w:cs="Arial"/>
              </w:rPr>
            </w:pPr>
            <w:r w:rsidRPr="00DB4751">
              <w:rPr>
                <w:rFonts w:ascii="Arial" w:hAnsi="Arial" w:cs="Arial"/>
              </w:rPr>
              <w:t xml:space="preserve">This policy is subject to a periodic Equality Impact Assessment.  </w:t>
            </w:r>
          </w:p>
        </w:tc>
      </w:tr>
      <w:tr w:rsidR="00616484" w:rsidRPr="00BA42AA" w:rsidTr="00C87EB1">
        <w:tc>
          <w:tcPr>
            <w:tcW w:w="1135" w:type="dxa"/>
            <w:shd w:val="clear" w:color="auto" w:fill="auto"/>
          </w:tcPr>
          <w:p w:rsidR="00616484" w:rsidRPr="00BC7992" w:rsidRDefault="00616484" w:rsidP="00B8298D">
            <w:pPr>
              <w:pStyle w:val="ListParagraph"/>
              <w:ind w:left="360" w:hanging="747"/>
              <w:rPr>
                <w:rFonts w:ascii="Arial" w:hAnsi="Arial" w:cs="Arial"/>
              </w:rPr>
            </w:pPr>
          </w:p>
        </w:tc>
        <w:tc>
          <w:tcPr>
            <w:tcW w:w="9011" w:type="dxa"/>
            <w:shd w:val="clear" w:color="auto" w:fill="auto"/>
          </w:tcPr>
          <w:p w:rsidR="00616484" w:rsidRPr="00DB4751" w:rsidRDefault="00616484" w:rsidP="00D50108">
            <w:pPr>
              <w:rPr>
                <w:rFonts w:ascii="Arial" w:hAnsi="Arial" w:cs="Arial"/>
                <w:bCs/>
              </w:rPr>
            </w:pPr>
          </w:p>
        </w:tc>
      </w:tr>
      <w:tr w:rsidR="00D50108" w:rsidRPr="00BA42AA" w:rsidTr="00C87EB1">
        <w:tc>
          <w:tcPr>
            <w:tcW w:w="1135" w:type="dxa"/>
            <w:shd w:val="clear" w:color="auto" w:fill="auto"/>
          </w:tcPr>
          <w:p w:rsidR="00D50108" w:rsidRPr="00BC7992" w:rsidRDefault="00D50108" w:rsidP="00885C12">
            <w:pPr>
              <w:pStyle w:val="ListParagraph"/>
              <w:numPr>
                <w:ilvl w:val="1"/>
                <w:numId w:val="5"/>
              </w:numPr>
              <w:ind w:hanging="747"/>
              <w:rPr>
                <w:rFonts w:ascii="Arial" w:hAnsi="Arial" w:cs="Arial"/>
              </w:rPr>
            </w:pPr>
          </w:p>
        </w:tc>
        <w:tc>
          <w:tcPr>
            <w:tcW w:w="9011" w:type="dxa"/>
            <w:shd w:val="clear" w:color="auto" w:fill="auto"/>
          </w:tcPr>
          <w:p w:rsidR="001819DF" w:rsidRPr="00DB4751" w:rsidRDefault="00DB4751" w:rsidP="00E7682F">
            <w:pPr>
              <w:rPr>
                <w:rFonts w:ascii="Arial" w:hAnsi="Arial" w:cs="Arial"/>
                <w:bCs/>
              </w:rPr>
            </w:pPr>
            <w:r w:rsidRPr="00DB4751">
              <w:rPr>
                <w:rFonts w:ascii="Arial" w:hAnsi="Arial" w:cs="Arial"/>
              </w:rPr>
              <w:t>The purpose of such an assessment is to consider the effect of the policy with regard to the recognised protected characteristics of equality and ensure that it does not unfairly impact any individual or group.  The protected characteristics are; age, disability, gender reassignment, race, religion or belief, sex, sexual orientation, marriage and civil partnership, pregnancy and maternity or other grounds set out in our Equality and Diversity Strategy and Single Equality Scheme.  Remedial action will be undertaken if a detrimental effect is identified.</w:t>
            </w:r>
          </w:p>
        </w:tc>
      </w:tr>
      <w:tr w:rsidR="00616484" w:rsidRPr="00BA42AA" w:rsidTr="00C87EB1">
        <w:tc>
          <w:tcPr>
            <w:tcW w:w="1135" w:type="dxa"/>
            <w:shd w:val="clear" w:color="auto" w:fill="auto"/>
          </w:tcPr>
          <w:p w:rsidR="00616484" w:rsidRPr="00BC7992" w:rsidRDefault="00616484" w:rsidP="00B8298D">
            <w:pPr>
              <w:pStyle w:val="ListParagraph"/>
              <w:ind w:left="360" w:hanging="747"/>
              <w:rPr>
                <w:rFonts w:ascii="Arial" w:hAnsi="Arial" w:cs="Arial"/>
              </w:rPr>
            </w:pPr>
          </w:p>
        </w:tc>
        <w:tc>
          <w:tcPr>
            <w:tcW w:w="9011" w:type="dxa"/>
            <w:shd w:val="clear" w:color="auto" w:fill="auto"/>
          </w:tcPr>
          <w:p w:rsidR="00616484" w:rsidRPr="00DB4751" w:rsidRDefault="00616484" w:rsidP="00D50108">
            <w:pPr>
              <w:rPr>
                <w:rFonts w:ascii="Arial" w:hAnsi="Arial" w:cs="Arial"/>
                <w:bCs/>
              </w:rPr>
            </w:pPr>
          </w:p>
        </w:tc>
      </w:tr>
      <w:tr w:rsidR="00D50108" w:rsidRPr="00BA42AA" w:rsidTr="00C87EB1">
        <w:tc>
          <w:tcPr>
            <w:tcW w:w="1135" w:type="dxa"/>
            <w:shd w:val="clear" w:color="auto" w:fill="auto"/>
          </w:tcPr>
          <w:p w:rsidR="00D50108" w:rsidRPr="00BC7992" w:rsidRDefault="00D50108" w:rsidP="00885C12">
            <w:pPr>
              <w:pStyle w:val="ListParagraph"/>
              <w:numPr>
                <w:ilvl w:val="1"/>
                <w:numId w:val="5"/>
              </w:numPr>
              <w:ind w:hanging="747"/>
              <w:rPr>
                <w:rFonts w:ascii="Arial" w:hAnsi="Arial" w:cs="Arial"/>
              </w:rPr>
            </w:pPr>
          </w:p>
        </w:tc>
        <w:tc>
          <w:tcPr>
            <w:tcW w:w="9011" w:type="dxa"/>
            <w:shd w:val="clear" w:color="auto" w:fill="auto"/>
          </w:tcPr>
          <w:p w:rsidR="001819DF" w:rsidRPr="00DB4751" w:rsidRDefault="00DB4751" w:rsidP="00E7682F">
            <w:pPr>
              <w:rPr>
                <w:rFonts w:ascii="Arial" w:hAnsi="Arial" w:cs="Arial"/>
                <w:b/>
              </w:rPr>
            </w:pPr>
            <w:r w:rsidRPr="00DB4751">
              <w:rPr>
                <w:rFonts w:ascii="Arial" w:hAnsi="Arial" w:cs="Arial"/>
                <w:lang w:val="en-US"/>
              </w:rPr>
              <w:t xml:space="preserve">This policy and any other related publications of </w:t>
            </w:r>
            <w:r w:rsidR="00A1286E">
              <w:rPr>
                <w:rFonts w:ascii="Arial" w:hAnsi="Arial" w:cs="Arial"/>
                <w:lang w:val="en-US"/>
              </w:rPr>
              <w:t xml:space="preserve">Alliance Homes Group </w:t>
            </w:r>
            <w:r w:rsidRPr="00DB4751">
              <w:rPr>
                <w:rFonts w:ascii="Arial" w:hAnsi="Arial" w:cs="Arial"/>
                <w:lang w:val="en-US"/>
              </w:rPr>
              <w:t xml:space="preserve">can be provided in other formats for those with visual, literacy or language difficulties.  </w:t>
            </w:r>
          </w:p>
        </w:tc>
      </w:tr>
      <w:tr w:rsidR="00D50108" w:rsidRPr="00BA42AA" w:rsidTr="00C87EB1">
        <w:tc>
          <w:tcPr>
            <w:tcW w:w="1135" w:type="dxa"/>
            <w:shd w:val="clear" w:color="auto" w:fill="auto"/>
          </w:tcPr>
          <w:p w:rsidR="00D50108" w:rsidRPr="00BC7992" w:rsidRDefault="00D50108" w:rsidP="00616484">
            <w:pPr>
              <w:pStyle w:val="ListParagraph"/>
              <w:ind w:left="360"/>
              <w:rPr>
                <w:rFonts w:ascii="Arial" w:hAnsi="Arial" w:cs="Arial"/>
                <w:b/>
              </w:rPr>
            </w:pPr>
          </w:p>
        </w:tc>
        <w:tc>
          <w:tcPr>
            <w:tcW w:w="9011" w:type="dxa"/>
            <w:shd w:val="clear" w:color="auto" w:fill="auto"/>
          </w:tcPr>
          <w:p w:rsidR="00D50108" w:rsidRPr="00DB4751" w:rsidRDefault="00D50108" w:rsidP="00D50108">
            <w:pPr>
              <w:rPr>
                <w:rFonts w:ascii="Arial" w:hAnsi="Arial" w:cs="Arial"/>
                <w:b/>
              </w:rPr>
            </w:pPr>
          </w:p>
        </w:tc>
      </w:tr>
      <w:tr w:rsidR="00D50108" w:rsidRPr="00BA42AA" w:rsidTr="00C87EB1">
        <w:tc>
          <w:tcPr>
            <w:tcW w:w="1135" w:type="dxa"/>
            <w:shd w:val="clear" w:color="auto" w:fill="auto"/>
          </w:tcPr>
          <w:p w:rsidR="00D50108" w:rsidRPr="00BC7992" w:rsidRDefault="00D50108" w:rsidP="00885C12">
            <w:pPr>
              <w:pStyle w:val="ListParagraph"/>
              <w:numPr>
                <w:ilvl w:val="0"/>
                <w:numId w:val="5"/>
              </w:numPr>
              <w:rPr>
                <w:rFonts w:ascii="Arial" w:hAnsi="Arial" w:cs="Arial"/>
                <w:b/>
              </w:rPr>
            </w:pPr>
          </w:p>
        </w:tc>
        <w:tc>
          <w:tcPr>
            <w:tcW w:w="9011" w:type="dxa"/>
            <w:shd w:val="clear" w:color="auto" w:fill="auto"/>
          </w:tcPr>
          <w:p w:rsidR="00D50108" w:rsidRPr="00BA42AA" w:rsidRDefault="00D50108" w:rsidP="00D50108">
            <w:pPr>
              <w:rPr>
                <w:rFonts w:ascii="Arial" w:hAnsi="Arial" w:cs="Arial"/>
                <w:b/>
              </w:rPr>
            </w:pPr>
            <w:r w:rsidRPr="00BA42AA">
              <w:rPr>
                <w:rFonts w:ascii="Arial" w:hAnsi="Arial" w:cs="Arial"/>
                <w:b/>
              </w:rPr>
              <w:t>ASSOCIATED DOCUMENTS</w:t>
            </w:r>
          </w:p>
          <w:p w:rsidR="00D50108" w:rsidRPr="00BA42AA" w:rsidRDefault="00D50108" w:rsidP="00D50108">
            <w:pPr>
              <w:rPr>
                <w:rFonts w:ascii="Arial" w:hAnsi="Arial" w:cs="Arial"/>
                <w:b/>
              </w:rPr>
            </w:pPr>
          </w:p>
        </w:tc>
      </w:tr>
      <w:tr w:rsidR="00D50108" w:rsidRPr="00BA42AA" w:rsidTr="00C87EB1">
        <w:tc>
          <w:tcPr>
            <w:tcW w:w="1135" w:type="dxa"/>
            <w:shd w:val="clear" w:color="auto" w:fill="auto"/>
          </w:tcPr>
          <w:p w:rsidR="00D50108" w:rsidRPr="00BC7992" w:rsidRDefault="00D50108" w:rsidP="00885C12">
            <w:pPr>
              <w:pStyle w:val="ListParagraph"/>
              <w:numPr>
                <w:ilvl w:val="1"/>
                <w:numId w:val="5"/>
              </w:numPr>
              <w:ind w:hanging="747"/>
              <w:rPr>
                <w:rFonts w:ascii="Arial" w:hAnsi="Arial" w:cs="Arial"/>
              </w:rPr>
            </w:pPr>
          </w:p>
        </w:tc>
        <w:tc>
          <w:tcPr>
            <w:tcW w:w="9011" w:type="dxa"/>
            <w:shd w:val="clear" w:color="auto" w:fill="auto"/>
          </w:tcPr>
          <w:p w:rsidR="00D50108" w:rsidRPr="00DB4751" w:rsidRDefault="00DB4751" w:rsidP="00B976AC">
            <w:pPr>
              <w:rPr>
                <w:rFonts w:ascii="Arial" w:hAnsi="Arial" w:cs="Arial"/>
              </w:rPr>
            </w:pPr>
            <w:r w:rsidRPr="00DB4751">
              <w:rPr>
                <w:rFonts w:ascii="Arial" w:hAnsi="Arial" w:cs="Arial"/>
              </w:rPr>
              <w:t>This policy has links to the Customer Care Policy,</w:t>
            </w:r>
            <w:r>
              <w:rPr>
                <w:rFonts w:ascii="Arial" w:hAnsi="Arial" w:cs="Arial"/>
              </w:rPr>
              <w:t xml:space="preserve"> Access to Information Policy, </w:t>
            </w:r>
            <w:r w:rsidRPr="00DB4751">
              <w:rPr>
                <w:rFonts w:ascii="Arial" w:hAnsi="Arial" w:cs="Arial"/>
              </w:rPr>
              <w:t>Tenant Leaseholder Involvement Policy, Data Prote</w:t>
            </w:r>
            <w:r>
              <w:rPr>
                <w:rFonts w:ascii="Arial" w:hAnsi="Arial" w:cs="Arial"/>
              </w:rPr>
              <w:t xml:space="preserve">ction &amp; Confidentiality Policy </w:t>
            </w:r>
            <w:r w:rsidRPr="00DB4751">
              <w:rPr>
                <w:rFonts w:ascii="Arial" w:hAnsi="Arial" w:cs="Arial"/>
              </w:rPr>
              <w:lastRenderedPageBreak/>
              <w:t>and all associated procedures.</w:t>
            </w:r>
          </w:p>
        </w:tc>
      </w:tr>
      <w:tr w:rsidR="00D50108" w:rsidRPr="00BA42AA" w:rsidTr="00C87EB1">
        <w:tc>
          <w:tcPr>
            <w:tcW w:w="1135" w:type="dxa"/>
            <w:shd w:val="clear" w:color="auto" w:fill="auto"/>
          </w:tcPr>
          <w:p w:rsidR="00D50108" w:rsidRPr="00BC7992" w:rsidRDefault="00D50108" w:rsidP="00616484">
            <w:pPr>
              <w:pStyle w:val="ListParagraph"/>
              <w:ind w:left="360"/>
              <w:rPr>
                <w:rFonts w:ascii="Arial" w:hAnsi="Arial" w:cs="Arial"/>
                <w:b/>
              </w:rPr>
            </w:pPr>
          </w:p>
        </w:tc>
        <w:tc>
          <w:tcPr>
            <w:tcW w:w="9011" w:type="dxa"/>
            <w:shd w:val="clear" w:color="auto" w:fill="auto"/>
          </w:tcPr>
          <w:p w:rsidR="00D50108" w:rsidRPr="00BA42AA" w:rsidRDefault="00D50108" w:rsidP="00D50108">
            <w:pPr>
              <w:rPr>
                <w:rFonts w:ascii="Arial" w:hAnsi="Arial" w:cs="Arial"/>
                <w:b/>
              </w:rPr>
            </w:pPr>
          </w:p>
        </w:tc>
      </w:tr>
      <w:tr w:rsidR="00D50108" w:rsidRPr="00BA42AA" w:rsidTr="00C87EB1">
        <w:tc>
          <w:tcPr>
            <w:tcW w:w="1135" w:type="dxa"/>
            <w:shd w:val="clear" w:color="auto" w:fill="auto"/>
          </w:tcPr>
          <w:p w:rsidR="00D50108" w:rsidRPr="00BC7992" w:rsidRDefault="00D50108" w:rsidP="00885C12">
            <w:pPr>
              <w:pStyle w:val="ListParagraph"/>
              <w:numPr>
                <w:ilvl w:val="0"/>
                <w:numId w:val="5"/>
              </w:numPr>
              <w:rPr>
                <w:rFonts w:ascii="Arial" w:hAnsi="Arial" w:cs="Arial"/>
                <w:b/>
                <w:bCs/>
              </w:rPr>
            </w:pPr>
          </w:p>
        </w:tc>
        <w:tc>
          <w:tcPr>
            <w:tcW w:w="9011" w:type="dxa"/>
            <w:shd w:val="clear" w:color="auto" w:fill="auto"/>
          </w:tcPr>
          <w:p w:rsidR="00D50108" w:rsidRPr="00BA42AA" w:rsidRDefault="001819DF" w:rsidP="00D50108">
            <w:pPr>
              <w:rPr>
                <w:rFonts w:ascii="Arial" w:hAnsi="Arial" w:cs="Arial"/>
                <w:b/>
                <w:bCs/>
                <w:lang w:val="en-US"/>
              </w:rPr>
            </w:pPr>
            <w:r w:rsidRPr="00BA42AA">
              <w:rPr>
                <w:rFonts w:ascii="Arial" w:hAnsi="Arial" w:cs="Arial"/>
                <w:b/>
                <w:bCs/>
                <w:lang w:val="en-US"/>
              </w:rPr>
              <w:t xml:space="preserve">APPROVAL </w:t>
            </w:r>
          </w:p>
          <w:p w:rsidR="001819DF" w:rsidRPr="00BA42AA" w:rsidRDefault="001819DF" w:rsidP="00BC7992">
            <w:pPr>
              <w:rPr>
                <w:rFonts w:ascii="Arial" w:hAnsi="Arial" w:cs="Arial"/>
                <w:color w:val="FF0000"/>
                <w:lang w:val="en-US"/>
              </w:rPr>
            </w:pPr>
          </w:p>
        </w:tc>
      </w:tr>
    </w:tbl>
    <w:p w:rsidR="00BA42AA" w:rsidRPr="00BA42AA" w:rsidRDefault="00BA42AA" w:rsidP="00BA42AA">
      <w:pPr>
        <w:rPr>
          <w:vanish/>
        </w:rPr>
      </w:pPr>
    </w:p>
    <w:p w:rsidR="001819DF" w:rsidRDefault="001819DF" w:rsidP="003B34AD"/>
    <w:tbl>
      <w:tblPr>
        <w:tblW w:w="91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600"/>
      </w:tblGrid>
      <w:tr w:rsidR="003B679A" w:rsidRPr="00760C4E" w:rsidTr="00F30B65">
        <w:tc>
          <w:tcPr>
            <w:tcW w:w="5508" w:type="dxa"/>
          </w:tcPr>
          <w:p w:rsidR="003B679A" w:rsidRPr="00760C4E" w:rsidRDefault="003B679A" w:rsidP="0071188A">
            <w:pPr>
              <w:ind w:left="709" w:hanging="709"/>
              <w:rPr>
                <w:rFonts w:ascii="Arial" w:hAnsi="Arial" w:cs="Arial"/>
                <w:b/>
                <w:bCs/>
                <w:lang w:val="en-US"/>
              </w:rPr>
            </w:pPr>
            <w:r w:rsidRPr="00760C4E">
              <w:rPr>
                <w:rFonts w:ascii="Arial" w:hAnsi="Arial" w:cs="Arial"/>
                <w:b/>
                <w:bCs/>
                <w:lang w:val="en-US"/>
              </w:rPr>
              <w:t xml:space="preserve">Approval </w:t>
            </w:r>
          </w:p>
        </w:tc>
        <w:tc>
          <w:tcPr>
            <w:tcW w:w="3600" w:type="dxa"/>
          </w:tcPr>
          <w:p w:rsidR="003B679A" w:rsidRPr="00760C4E" w:rsidRDefault="003B679A" w:rsidP="0071188A">
            <w:pPr>
              <w:ind w:left="709" w:hanging="709"/>
              <w:rPr>
                <w:rFonts w:ascii="Arial" w:hAnsi="Arial" w:cs="Arial"/>
                <w:b/>
                <w:bCs/>
                <w:lang w:val="en-US"/>
              </w:rPr>
            </w:pPr>
            <w:r w:rsidRPr="00760C4E">
              <w:rPr>
                <w:rFonts w:ascii="Arial" w:hAnsi="Arial" w:cs="Arial"/>
                <w:b/>
                <w:bCs/>
                <w:lang w:val="en-US"/>
              </w:rPr>
              <w:t xml:space="preserve">Date </w:t>
            </w:r>
          </w:p>
        </w:tc>
      </w:tr>
      <w:tr w:rsidR="0026571C" w:rsidRPr="00760C4E" w:rsidTr="00F30B65">
        <w:tc>
          <w:tcPr>
            <w:tcW w:w="5508" w:type="dxa"/>
          </w:tcPr>
          <w:p w:rsidR="0026571C" w:rsidRPr="00760C4E" w:rsidRDefault="0026571C" w:rsidP="0026571C">
            <w:pPr>
              <w:pStyle w:val="6b05fc18-ae47-47e9-9e53-75e7773d21ba"/>
              <w:ind w:left="709" w:hanging="709"/>
              <w:rPr>
                <w:rFonts w:ascii="Arial" w:hAnsi="Arial" w:cs="Arial"/>
                <w:bCs/>
                <w:lang w:val="en-US"/>
              </w:rPr>
            </w:pPr>
            <w:r>
              <w:rPr>
                <w:rFonts w:ascii="Arial" w:hAnsi="Arial" w:cs="Arial"/>
                <w:bCs/>
                <w:lang w:val="en-US"/>
              </w:rPr>
              <w:t>Updated to update review process</w:t>
            </w:r>
          </w:p>
        </w:tc>
        <w:tc>
          <w:tcPr>
            <w:tcW w:w="3600" w:type="dxa"/>
          </w:tcPr>
          <w:p w:rsidR="0026571C" w:rsidRDefault="0026571C" w:rsidP="00F30B65">
            <w:pPr>
              <w:ind w:left="709" w:hanging="709"/>
              <w:rPr>
                <w:rFonts w:ascii="Arial" w:hAnsi="Arial" w:cs="Arial"/>
                <w:bCs/>
                <w:lang w:val="en-US"/>
              </w:rPr>
            </w:pPr>
            <w:r>
              <w:rPr>
                <w:rFonts w:ascii="Arial" w:hAnsi="Arial" w:cs="Arial"/>
                <w:bCs/>
                <w:lang w:val="en-US"/>
              </w:rPr>
              <w:t>1</w:t>
            </w:r>
            <w:r w:rsidRPr="0026571C">
              <w:rPr>
                <w:rFonts w:ascii="Arial" w:hAnsi="Arial" w:cs="Arial"/>
                <w:bCs/>
                <w:vertAlign w:val="superscript"/>
                <w:lang w:val="en-US"/>
              </w:rPr>
              <w:t>st</w:t>
            </w:r>
            <w:r>
              <w:rPr>
                <w:rFonts w:ascii="Arial" w:hAnsi="Arial" w:cs="Arial"/>
                <w:bCs/>
                <w:lang w:val="en-US"/>
              </w:rPr>
              <w:t xml:space="preserve"> April 2017</w:t>
            </w:r>
          </w:p>
        </w:tc>
      </w:tr>
      <w:tr w:rsidR="003B679A" w:rsidRPr="00760C4E" w:rsidTr="00F30B65">
        <w:tc>
          <w:tcPr>
            <w:tcW w:w="5508" w:type="dxa"/>
          </w:tcPr>
          <w:p w:rsidR="003B679A" w:rsidRPr="00760C4E" w:rsidRDefault="003B679A" w:rsidP="00F30B65">
            <w:pPr>
              <w:pStyle w:val="6b05fc18-ae47-47e9-9e53-75e7773d21ba"/>
              <w:ind w:left="709" w:hanging="709"/>
              <w:rPr>
                <w:rFonts w:ascii="Verdana" w:hAnsi="Verdana"/>
              </w:rPr>
            </w:pPr>
            <w:r w:rsidRPr="00760C4E">
              <w:rPr>
                <w:rFonts w:ascii="Arial" w:hAnsi="Arial" w:cs="Arial"/>
                <w:bCs/>
                <w:lang w:val="en-US"/>
              </w:rPr>
              <w:t xml:space="preserve">Equality Impact Assessment completed </w:t>
            </w:r>
          </w:p>
        </w:tc>
        <w:tc>
          <w:tcPr>
            <w:tcW w:w="3600" w:type="dxa"/>
          </w:tcPr>
          <w:p w:rsidR="003B679A" w:rsidRPr="00DB4751" w:rsidRDefault="0026571C" w:rsidP="00F30B65">
            <w:pPr>
              <w:ind w:left="709" w:hanging="709"/>
              <w:rPr>
                <w:rFonts w:ascii="Arial" w:hAnsi="Arial" w:cs="Arial"/>
                <w:bCs/>
                <w:lang w:val="en-US"/>
              </w:rPr>
            </w:pPr>
            <w:r>
              <w:rPr>
                <w:rFonts w:ascii="Arial" w:hAnsi="Arial" w:cs="Arial"/>
                <w:bCs/>
                <w:lang w:val="en-US"/>
              </w:rPr>
              <w:t>24</w:t>
            </w:r>
            <w:r w:rsidRPr="0026571C">
              <w:rPr>
                <w:rFonts w:ascii="Arial" w:hAnsi="Arial" w:cs="Arial"/>
                <w:bCs/>
                <w:vertAlign w:val="superscript"/>
                <w:lang w:val="en-US"/>
              </w:rPr>
              <w:t>th</w:t>
            </w:r>
            <w:r>
              <w:rPr>
                <w:rFonts w:ascii="Arial" w:hAnsi="Arial" w:cs="Arial"/>
                <w:bCs/>
                <w:lang w:val="en-US"/>
              </w:rPr>
              <w:t xml:space="preserve"> September 2015</w:t>
            </w:r>
          </w:p>
        </w:tc>
      </w:tr>
      <w:tr w:rsidR="003B679A" w:rsidRPr="00760C4E" w:rsidTr="00F30B65">
        <w:tc>
          <w:tcPr>
            <w:tcW w:w="5508" w:type="dxa"/>
          </w:tcPr>
          <w:p w:rsidR="003B679A" w:rsidRPr="00760C4E" w:rsidRDefault="003B679A" w:rsidP="00F30B65">
            <w:pPr>
              <w:pStyle w:val="6b05fc18-ae47-47e9-9e53-75e7773d21ba"/>
              <w:ind w:left="709" w:hanging="709"/>
              <w:rPr>
                <w:rFonts w:ascii="Arial" w:hAnsi="Arial" w:cs="Arial"/>
                <w:bCs/>
                <w:lang w:val="en-US"/>
              </w:rPr>
            </w:pPr>
            <w:r w:rsidRPr="00760C4E">
              <w:rPr>
                <w:rFonts w:ascii="Arial" w:hAnsi="Arial" w:cs="Arial"/>
                <w:bCs/>
                <w:lang w:val="en-US"/>
              </w:rPr>
              <w:t xml:space="preserve">EIA reviewed by </w:t>
            </w:r>
            <w:r w:rsidRPr="00760C4E">
              <w:rPr>
                <w:rFonts w:ascii="Arial" w:hAnsi="Arial" w:cs="Arial"/>
                <w:bCs/>
              </w:rPr>
              <w:t>Equality &amp; Diversity Manager</w:t>
            </w:r>
          </w:p>
        </w:tc>
        <w:tc>
          <w:tcPr>
            <w:tcW w:w="3600" w:type="dxa"/>
          </w:tcPr>
          <w:p w:rsidR="003B679A" w:rsidRPr="00DB4751" w:rsidRDefault="0026571C" w:rsidP="00F30B65">
            <w:pPr>
              <w:ind w:left="709" w:hanging="709"/>
              <w:rPr>
                <w:rFonts w:ascii="Arial" w:hAnsi="Arial" w:cs="Arial"/>
                <w:bCs/>
                <w:lang w:val="en-US"/>
              </w:rPr>
            </w:pPr>
            <w:r>
              <w:rPr>
                <w:rFonts w:ascii="Arial" w:hAnsi="Arial" w:cs="Arial"/>
                <w:bCs/>
                <w:lang w:val="en-US"/>
              </w:rPr>
              <w:t>24</w:t>
            </w:r>
            <w:r w:rsidRPr="0026571C">
              <w:rPr>
                <w:rFonts w:ascii="Arial" w:hAnsi="Arial" w:cs="Arial"/>
                <w:bCs/>
                <w:vertAlign w:val="superscript"/>
                <w:lang w:val="en-US"/>
              </w:rPr>
              <w:t>th</w:t>
            </w:r>
            <w:r>
              <w:rPr>
                <w:rFonts w:ascii="Arial" w:hAnsi="Arial" w:cs="Arial"/>
                <w:bCs/>
                <w:lang w:val="en-US"/>
              </w:rPr>
              <w:t xml:space="preserve"> September 2015</w:t>
            </w:r>
          </w:p>
        </w:tc>
      </w:tr>
      <w:tr w:rsidR="003B679A" w:rsidRPr="00760C4E" w:rsidTr="00F30B65">
        <w:tc>
          <w:tcPr>
            <w:tcW w:w="5508" w:type="dxa"/>
          </w:tcPr>
          <w:p w:rsidR="003B679A" w:rsidRPr="00760C4E" w:rsidRDefault="003B679A" w:rsidP="00F30B65">
            <w:pPr>
              <w:ind w:left="709" w:hanging="709"/>
              <w:rPr>
                <w:rFonts w:ascii="Arial" w:hAnsi="Arial" w:cs="Arial"/>
                <w:lang w:val="en-US"/>
              </w:rPr>
            </w:pPr>
            <w:r w:rsidRPr="00760C4E">
              <w:rPr>
                <w:rFonts w:ascii="Arial" w:hAnsi="Arial" w:cs="Arial"/>
                <w:lang w:val="en-US"/>
              </w:rPr>
              <w:t xml:space="preserve">ET review / approval </w:t>
            </w:r>
          </w:p>
        </w:tc>
        <w:tc>
          <w:tcPr>
            <w:tcW w:w="3600" w:type="dxa"/>
          </w:tcPr>
          <w:p w:rsidR="003B679A" w:rsidRPr="00DB4751" w:rsidRDefault="00DB4751" w:rsidP="00F30B65">
            <w:pPr>
              <w:ind w:left="709" w:hanging="709"/>
              <w:rPr>
                <w:rFonts w:ascii="Arial" w:hAnsi="Arial" w:cs="Arial"/>
                <w:lang w:val="en-US"/>
              </w:rPr>
            </w:pPr>
            <w:r w:rsidRPr="00DB4751">
              <w:rPr>
                <w:rFonts w:ascii="Arial" w:hAnsi="Arial" w:cs="Arial"/>
              </w:rPr>
              <w:t>5 February 2013</w:t>
            </w:r>
          </w:p>
        </w:tc>
      </w:tr>
      <w:tr w:rsidR="003B679A" w:rsidRPr="00760C4E" w:rsidTr="00F30B65">
        <w:tc>
          <w:tcPr>
            <w:tcW w:w="5508" w:type="dxa"/>
          </w:tcPr>
          <w:p w:rsidR="003B679A" w:rsidRPr="00760C4E" w:rsidRDefault="003B679A" w:rsidP="00F30B65">
            <w:pPr>
              <w:ind w:left="709" w:hanging="709"/>
              <w:rPr>
                <w:rFonts w:ascii="Arial" w:hAnsi="Arial" w:cs="Arial"/>
                <w:lang w:val="en-US"/>
              </w:rPr>
            </w:pPr>
            <w:r w:rsidRPr="00760C4E">
              <w:rPr>
                <w:rFonts w:ascii="Arial" w:hAnsi="Arial" w:cs="Arial"/>
                <w:lang w:val="en-US"/>
              </w:rPr>
              <w:t>Board or Cttee approval</w:t>
            </w:r>
          </w:p>
        </w:tc>
        <w:tc>
          <w:tcPr>
            <w:tcW w:w="3600" w:type="dxa"/>
          </w:tcPr>
          <w:p w:rsidR="003B679A" w:rsidRPr="00DB4751" w:rsidRDefault="00DB4751" w:rsidP="00F30B65">
            <w:pPr>
              <w:ind w:left="709" w:hanging="709"/>
              <w:rPr>
                <w:rFonts w:ascii="Arial" w:hAnsi="Arial" w:cs="Arial"/>
                <w:lang w:val="en-US"/>
              </w:rPr>
            </w:pPr>
            <w:r w:rsidRPr="00DB4751">
              <w:rPr>
                <w:rFonts w:ascii="Arial" w:hAnsi="Arial" w:cs="Arial"/>
              </w:rPr>
              <w:t>27 February 2013</w:t>
            </w:r>
          </w:p>
        </w:tc>
      </w:tr>
      <w:tr w:rsidR="003B679A" w:rsidRPr="00760C4E" w:rsidTr="00F30B65">
        <w:tc>
          <w:tcPr>
            <w:tcW w:w="5508" w:type="dxa"/>
          </w:tcPr>
          <w:p w:rsidR="003B679A" w:rsidRPr="00760C4E" w:rsidRDefault="0071188A" w:rsidP="00F30B65">
            <w:pPr>
              <w:ind w:left="709" w:hanging="709"/>
              <w:rPr>
                <w:rFonts w:ascii="Arial" w:hAnsi="Arial" w:cs="Arial"/>
                <w:lang w:val="en-US"/>
              </w:rPr>
            </w:pPr>
            <w:r>
              <w:rPr>
                <w:rFonts w:ascii="Arial" w:hAnsi="Arial" w:cs="Arial"/>
                <w:lang w:val="en-US"/>
              </w:rPr>
              <w:t>Review du</w:t>
            </w:r>
            <w:r w:rsidR="003B679A" w:rsidRPr="00760C4E">
              <w:rPr>
                <w:rFonts w:ascii="Arial" w:hAnsi="Arial" w:cs="Arial"/>
                <w:lang w:val="en-US"/>
              </w:rPr>
              <w:t>e</w:t>
            </w:r>
            <w:r>
              <w:rPr>
                <w:rFonts w:ascii="Arial" w:hAnsi="Arial" w:cs="Arial"/>
                <w:lang w:val="en-US"/>
              </w:rPr>
              <w:t xml:space="preserve"> before</w:t>
            </w:r>
          </w:p>
        </w:tc>
        <w:tc>
          <w:tcPr>
            <w:tcW w:w="3600" w:type="dxa"/>
          </w:tcPr>
          <w:p w:rsidR="003B679A" w:rsidRPr="00DB4751" w:rsidRDefault="00A9704A" w:rsidP="00F30B65">
            <w:pPr>
              <w:ind w:left="709" w:hanging="709"/>
              <w:rPr>
                <w:rFonts w:ascii="Arial" w:hAnsi="Arial" w:cs="Arial"/>
                <w:lang w:val="en-US"/>
              </w:rPr>
            </w:pPr>
            <w:r>
              <w:rPr>
                <w:rFonts w:ascii="Arial" w:hAnsi="Arial" w:cs="Arial"/>
              </w:rPr>
              <w:t>March</w:t>
            </w:r>
            <w:bookmarkStart w:id="0" w:name="_GoBack"/>
            <w:bookmarkEnd w:id="0"/>
            <w:r w:rsidR="00DB4751" w:rsidRPr="00DB4751">
              <w:rPr>
                <w:rFonts w:ascii="Arial" w:hAnsi="Arial" w:cs="Arial"/>
              </w:rPr>
              <w:t xml:space="preserve"> 201</w:t>
            </w:r>
            <w:r w:rsidR="0071099E">
              <w:rPr>
                <w:rFonts w:ascii="Arial" w:hAnsi="Arial" w:cs="Arial"/>
              </w:rPr>
              <w:t>9</w:t>
            </w:r>
          </w:p>
        </w:tc>
      </w:tr>
    </w:tbl>
    <w:p w:rsidR="003B679A" w:rsidRDefault="003B679A" w:rsidP="003B34AD"/>
    <w:p w:rsidR="0071188A" w:rsidRPr="0071188A" w:rsidRDefault="0071188A" w:rsidP="0071188A">
      <w:pPr>
        <w:rPr>
          <w:rFonts w:ascii="Verdana" w:hAnsi="Verdana" w:cs="Arial"/>
        </w:rPr>
      </w:pPr>
    </w:p>
    <w:p w:rsidR="0071188A" w:rsidRPr="0071188A" w:rsidRDefault="0071188A" w:rsidP="0071188A">
      <w:pPr>
        <w:rPr>
          <w:rFonts w:ascii="Verdana" w:hAnsi="Verdana" w:cs="Arial"/>
        </w:rPr>
      </w:pPr>
    </w:p>
    <w:sectPr w:rsidR="0071188A" w:rsidRPr="0071188A" w:rsidSect="0071188A">
      <w:pgSz w:w="11906" w:h="16838"/>
      <w:pgMar w:top="1440" w:right="849" w:bottom="1440" w:left="85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059" w:rsidRDefault="00CB5059">
      <w:r>
        <w:separator/>
      </w:r>
    </w:p>
  </w:endnote>
  <w:endnote w:type="continuationSeparator" w:id="0">
    <w:p w:rsidR="00CB5059" w:rsidRDefault="00CB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059" w:rsidRDefault="00CB5059">
      <w:r>
        <w:separator/>
      </w:r>
    </w:p>
  </w:footnote>
  <w:footnote w:type="continuationSeparator" w:id="0">
    <w:p w:rsidR="00CB5059" w:rsidRDefault="00CB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5909"/>
    <w:multiLevelType w:val="hybridMultilevel"/>
    <w:tmpl w:val="53289F96"/>
    <w:lvl w:ilvl="0" w:tplc="0809000F">
      <w:start w:val="1"/>
      <w:numFmt w:val="decimal"/>
      <w:lvlText w:val="%1."/>
      <w:lvlJc w:val="left"/>
      <w:pPr>
        <w:tabs>
          <w:tab w:val="num" w:pos="360"/>
        </w:tabs>
        <w:ind w:left="360" w:hanging="360"/>
      </w:pPr>
    </w:lvl>
    <w:lvl w:ilvl="1" w:tplc="01BC024A">
      <w:start w:val="1"/>
      <w:numFmt w:val="bullet"/>
      <w:lvlText w:val=""/>
      <w:lvlJc w:val="left"/>
      <w:pPr>
        <w:tabs>
          <w:tab w:val="num" w:pos="1080"/>
        </w:tabs>
        <w:ind w:left="1080" w:hanging="360"/>
      </w:pPr>
      <w:rPr>
        <w:rFonts w:ascii="Symbol" w:hAnsi="Symbol" w:hint="default"/>
        <w:sz w:val="24"/>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8C35996"/>
    <w:multiLevelType w:val="hybridMultilevel"/>
    <w:tmpl w:val="FBD0F2F8"/>
    <w:lvl w:ilvl="0" w:tplc="01BC024A">
      <w:start w:val="1"/>
      <w:numFmt w:val="bullet"/>
      <w:lvlText w:val=""/>
      <w:lvlJc w:val="left"/>
      <w:pPr>
        <w:tabs>
          <w:tab w:val="num" w:pos="1080"/>
        </w:tabs>
        <w:ind w:left="1080" w:hanging="360"/>
      </w:pPr>
      <w:rPr>
        <w:rFonts w:ascii="Symbol" w:hAnsi="Symbol" w:hint="default"/>
        <w:sz w:val="24"/>
      </w:rPr>
    </w:lvl>
    <w:lvl w:ilvl="1" w:tplc="0809000F">
      <w:start w:val="1"/>
      <w:numFmt w:val="decimal"/>
      <w:lvlText w:val="%2."/>
      <w:lvlJc w:val="left"/>
      <w:pPr>
        <w:tabs>
          <w:tab w:val="num" w:pos="2160"/>
        </w:tabs>
        <w:ind w:left="2160" w:hanging="360"/>
      </w:pPr>
      <w:rPr>
        <w:rFonts w:hint="default"/>
        <w:sz w:val="24"/>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AA7A6D"/>
    <w:multiLevelType w:val="hybridMultilevel"/>
    <w:tmpl w:val="12B895BA"/>
    <w:lvl w:ilvl="0" w:tplc="BF2A32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005F0"/>
    <w:multiLevelType w:val="hybridMultilevel"/>
    <w:tmpl w:val="F03CC750"/>
    <w:lvl w:ilvl="0" w:tplc="01BC024A">
      <w:start w:val="1"/>
      <w:numFmt w:val="bullet"/>
      <w:lvlText w:val=""/>
      <w:lvlJc w:val="left"/>
      <w:pPr>
        <w:tabs>
          <w:tab w:val="num" w:pos="720"/>
        </w:tabs>
        <w:ind w:left="720" w:hanging="360"/>
      </w:pPr>
      <w:rPr>
        <w:rFonts w:ascii="Symbol" w:hAnsi="Symbol" w:hint="default"/>
        <w:sz w:val="24"/>
      </w:rPr>
    </w:lvl>
    <w:lvl w:ilvl="1" w:tplc="01BC024A">
      <w:start w:val="1"/>
      <w:numFmt w:val="bullet"/>
      <w:lvlText w:val=""/>
      <w:lvlJc w:val="left"/>
      <w:pPr>
        <w:tabs>
          <w:tab w:val="num" w:pos="1440"/>
        </w:tabs>
        <w:ind w:left="1440" w:hanging="360"/>
      </w:pPr>
      <w:rPr>
        <w:rFonts w:ascii="Symbol" w:hAnsi="Symbol"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1147CB"/>
    <w:multiLevelType w:val="hybridMultilevel"/>
    <w:tmpl w:val="F6026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5F5A88"/>
    <w:multiLevelType w:val="hybridMultilevel"/>
    <w:tmpl w:val="B57277B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6119F1"/>
    <w:multiLevelType w:val="hybridMultilevel"/>
    <w:tmpl w:val="E1202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2547D"/>
    <w:multiLevelType w:val="hybridMultilevel"/>
    <w:tmpl w:val="31EA4598"/>
    <w:lvl w:ilvl="0" w:tplc="01BC024A">
      <w:start w:val="1"/>
      <w:numFmt w:val="bullet"/>
      <w:lvlText w:val=""/>
      <w:lvlJc w:val="left"/>
      <w:pPr>
        <w:tabs>
          <w:tab w:val="num" w:pos="1080"/>
        </w:tabs>
        <w:ind w:left="1080" w:hanging="360"/>
      </w:pPr>
      <w:rPr>
        <w:rFonts w:ascii="Symbol" w:hAnsi="Symbol" w:hint="default"/>
        <w:sz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1114E3"/>
    <w:multiLevelType w:val="hybridMultilevel"/>
    <w:tmpl w:val="E140D3AE"/>
    <w:lvl w:ilvl="0" w:tplc="01BC024A">
      <w:start w:val="1"/>
      <w:numFmt w:val="bullet"/>
      <w:lvlText w:val=""/>
      <w:lvlJc w:val="left"/>
      <w:pPr>
        <w:tabs>
          <w:tab w:val="num" w:pos="720"/>
        </w:tabs>
        <w:ind w:left="720" w:hanging="360"/>
      </w:pPr>
      <w:rPr>
        <w:rFonts w:ascii="Symbol" w:hAnsi="Symbol" w:hint="default"/>
        <w:sz w:val="24"/>
      </w:rPr>
    </w:lvl>
    <w:lvl w:ilvl="1" w:tplc="01BC024A">
      <w:start w:val="1"/>
      <w:numFmt w:val="bullet"/>
      <w:lvlText w:val=""/>
      <w:lvlJc w:val="left"/>
      <w:pPr>
        <w:tabs>
          <w:tab w:val="num" w:pos="1440"/>
        </w:tabs>
        <w:ind w:left="1440" w:hanging="360"/>
      </w:pPr>
      <w:rPr>
        <w:rFonts w:ascii="Symbol" w:hAnsi="Symbol"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247392"/>
    <w:multiLevelType w:val="hybridMultilevel"/>
    <w:tmpl w:val="FF145FA6"/>
    <w:lvl w:ilvl="0" w:tplc="BF2A32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F1737"/>
    <w:multiLevelType w:val="hybridMultilevel"/>
    <w:tmpl w:val="AA22584E"/>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6B08C0"/>
    <w:multiLevelType w:val="hybridMultilevel"/>
    <w:tmpl w:val="B0D6945E"/>
    <w:lvl w:ilvl="0" w:tplc="01BC024A">
      <w:start w:val="1"/>
      <w:numFmt w:val="bullet"/>
      <w:lvlText w:val=""/>
      <w:lvlJc w:val="left"/>
      <w:pPr>
        <w:tabs>
          <w:tab w:val="num" w:pos="720"/>
        </w:tabs>
        <w:ind w:left="720" w:hanging="360"/>
      </w:pPr>
      <w:rPr>
        <w:rFonts w:ascii="Symbol" w:hAnsi="Symbol" w:hint="default"/>
        <w:sz w:val="24"/>
      </w:rPr>
    </w:lvl>
    <w:lvl w:ilvl="1" w:tplc="01BC024A">
      <w:start w:val="1"/>
      <w:numFmt w:val="bullet"/>
      <w:lvlText w:val=""/>
      <w:lvlJc w:val="left"/>
      <w:pPr>
        <w:tabs>
          <w:tab w:val="num" w:pos="1440"/>
        </w:tabs>
        <w:ind w:left="1440" w:hanging="360"/>
      </w:pPr>
      <w:rPr>
        <w:rFonts w:ascii="Symbol" w:hAnsi="Symbol"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8277F8E"/>
    <w:multiLevelType w:val="hybridMultilevel"/>
    <w:tmpl w:val="632AE1DE"/>
    <w:lvl w:ilvl="0" w:tplc="01BC024A">
      <w:start w:val="1"/>
      <w:numFmt w:val="bullet"/>
      <w:lvlText w:val=""/>
      <w:lvlJc w:val="left"/>
      <w:pPr>
        <w:tabs>
          <w:tab w:val="num" w:pos="720"/>
        </w:tabs>
        <w:ind w:left="720" w:hanging="360"/>
      </w:pPr>
      <w:rPr>
        <w:rFonts w:ascii="Symbol" w:hAnsi="Symbol" w:hint="default"/>
        <w:sz w:val="24"/>
      </w:rPr>
    </w:lvl>
    <w:lvl w:ilvl="1" w:tplc="01BC024A">
      <w:start w:val="1"/>
      <w:numFmt w:val="bullet"/>
      <w:lvlText w:val=""/>
      <w:lvlJc w:val="left"/>
      <w:pPr>
        <w:tabs>
          <w:tab w:val="num" w:pos="1440"/>
        </w:tabs>
        <w:ind w:left="1440" w:hanging="360"/>
      </w:pPr>
      <w:rPr>
        <w:rFonts w:ascii="Symbol" w:hAnsi="Symbol"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A064719"/>
    <w:multiLevelType w:val="multilevel"/>
    <w:tmpl w:val="FB34AEBC"/>
    <w:lvl w:ilvl="0">
      <w:start w:val="1"/>
      <w:numFmt w:val="decimal"/>
      <w:pStyle w:val="ReportNumbering"/>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52"/>
        </w:tabs>
        <w:ind w:left="1152" w:hanging="1152"/>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14" w15:restartNumberingAfterBreak="0">
    <w:nsid w:val="570827A7"/>
    <w:multiLevelType w:val="hybridMultilevel"/>
    <w:tmpl w:val="F508CFD8"/>
    <w:lvl w:ilvl="0" w:tplc="01BC024A">
      <w:start w:val="1"/>
      <w:numFmt w:val="bullet"/>
      <w:lvlText w:val=""/>
      <w:lvlJc w:val="left"/>
      <w:pPr>
        <w:tabs>
          <w:tab w:val="num" w:pos="720"/>
        </w:tabs>
        <w:ind w:left="720" w:hanging="360"/>
      </w:pPr>
      <w:rPr>
        <w:rFonts w:ascii="Symbol" w:hAnsi="Symbol" w:hint="default"/>
        <w:sz w:val="24"/>
      </w:rPr>
    </w:lvl>
    <w:lvl w:ilvl="1" w:tplc="01BC024A">
      <w:start w:val="1"/>
      <w:numFmt w:val="bullet"/>
      <w:lvlText w:val=""/>
      <w:lvlJc w:val="left"/>
      <w:pPr>
        <w:tabs>
          <w:tab w:val="num" w:pos="1440"/>
        </w:tabs>
        <w:ind w:left="1440" w:hanging="360"/>
      </w:pPr>
      <w:rPr>
        <w:rFonts w:ascii="Symbol" w:hAnsi="Symbol"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C016ECA"/>
    <w:multiLevelType w:val="hybridMultilevel"/>
    <w:tmpl w:val="26AE3B7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AA2A93"/>
    <w:multiLevelType w:val="hybridMultilevel"/>
    <w:tmpl w:val="2B4A3F42"/>
    <w:lvl w:ilvl="0" w:tplc="01BC024A">
      <w:start w:val="1"/>
      <w:numFmt w:val="bullet"/>
      <w:lvlText w:val=""/>
      <w:lvlJc w:val="left"/>
      <w:pPr>
        <w:tabs>
          <w:tab w:val="num" w:pos="720"/>
        </w:tabs>
        <w:ind w:left="720" w:hanging="360"/>
      </w:pPr>
      <w:rPr>
        <w:rFonts w:ascii="Symbol" w:hAnsi="Symbol" w:hint="default"/>
        <w:sz w:val="24"/>
      </w:rPr>
    </w:lvl>
    <w:lvl w:ilvl="1" w:tplc="01BC024A">
      <w:start w:val="1"/>
      <w:numFmt w:val="bullet"/>
      <w:lvlText w:val=""/>
      <w:lvlJc w:val="left"/>
      <w:pPr>
        <w:tabs>
          <w:tab w:val="num" w:pos="1440"/>
        </w:tabs>
        <w:ind w:left="1440" w:hanging="360"/>
      </w:pPr>
      <w:rPr>
        <w:rFonts w:ascii="Symbol" w:hAnsi="Symbol"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7FE3DEC"/>
    <w:multiLevelType w:val="hybridMultilevel"/>
    <w:tmpl w:val="7D6AA9A8"/>
    <w:lvl w:ilvl="0" w:tplc="01BC024A">
      <w:start w:val="1"/>
      <w:numFmt w:val="bullet"/>
      <w:lvlText w:val=""/>
      <w:lvlJc w:val="left"/>
      <w:pPr>
        <w:tabs>
          <w:tab w:val="num" w:pos="720"/>
        </w:tabs>
        <w:ind w:left="720" w:hanging="360"/>
      </w:pPr>
      <w:rPr>
        <w:rFonts w:ascii="Symbol" w:hAnsi="Symbol" w:hint="default"/>
        <w:sz w:val="24"/>
      </w:rPr>
    </w:lvl>
    <w:lvl w:ilvl="1" w:tplc="01BC024A">
      <w:start w:val="1"/>
      <w:numFmt w:val="bullet"/>
      <w:lvlText w:val=""/>
      <w:lvlJc w:val="left"/>
      <w:pPr>
        <w:tabs>
          <w:tab w:val="num" w:pos="1440"/>
        </w:tabs>
        <w:ind w:left="1440" w:hanging="360"/>
      </w:pPr>
      <w:rPr>
        <w:rFonts w:ascii="Symbol" w:hAnsi="Symbol"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8E732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AD30B9"/>
    <w:multiLevelType w:val="hybridMultilevel"/>
    <w:tmpl w:val="513CC014"/>
    <w:lvl w:ilvl="0" w:tplc="01BC024A">
      <w:start w:val="1"/>
      <w:numFmt w:val="bullet"/>
      <w:lvlText w:val=""/>
      <w:lvlJc w:val="left"/>
      <w:pPr>
        <w:tabs>
          <w:tab w:val="num" w:pos="1080"/>
        </w:tabs>
        <w:ind w:left="1080" w:hanging="360"/>
      </w:pPr>
      <w:rPr>
        <w:rFonts w:ascii="Symbol" w:hAnsi="Symbol" w:hint="default"/>
        <w:sz w:val="24"/>
      </w:rPr>
    </w:lvl>
    <w:lvl w:ilvl="1" w:tplc="01BC024A">
      <w:start w:val="1"/>
      <w:numFmt w:val="bullet"/>
      <w:lvlText w:val=""/>
      <w:lvlJc w:val="left"/>
      <w:pPr>
        <w:tabs>
          <w:tab w:val="num" w:pos="1080"/>
        </w:tabs>
        <w:ind w:left="1080" w:hanging="360"/>
      </w:pPr>
      <w:rPr>
        <w:rFonts w:ascii="Symbol" w:hAnsi="Symbol" w:hint="default"/>
        <w:sz w:val="24"/>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7302C0B"/>
    <w:multiLevelType w:val="hybridMultilevel"/>
    <w:tmpl w:val="B89E227C"/>
    <w:lvl w:ilvl="0" w:tplc="0809000F">
      <w:start w:val="1"/>
      <w:numFmt w:val="decimal"/>
      <w:lvlText w:val="%1."/>
      <w:lvlJc w:val="left"/>
      <w:pPr>
        <w:ind w:left="544" w:hanging="360"/>
      </w:pPr>
    </w:lvl>
    <w:lvl w:ilvl="1" w:tplc="08090019" w:tentative="1">
      <w:start w:val="1"/>
      <w:numFmt w:val="lowerLetter"/>
      <w:lvlText w:val="%2."/>
      <w:lvlJc w:val="left"/>
      <w:pPr>
        <w:ind w:left="1264" w:hanging="360"/>
      </w:pPr>
    </w:lvl>
    <w:lvl w:ilvl="2" w:tplc="0809001B" w:tentative="1">
      <w:start w:val="1"/>
      <w:numFmt w:val="lowerRoman"/>
      <w:lvlText w:val="%3."/>
      <w:lvlJc w:val="right"/>
      <w:pPr>
        <w:ind w:left="1984" w:hanging="180"/>
      </w:pPr>
    </w:lvl>
    <w:lvl w:ilvl="3" w:tplc="0809000F" w:tentative="1">
      <w:start w:val="1"/>
      <w:numFmt w:val="decimal"/>
      <w:lvlText w:val="%4."/>
      <w:lvlJc w:val="left"/>
      <w:pPr>
        <w:ind w:left="2704" w:hanging="360"/>
      </w:pPr>
    </w:lvl>
    <w:lvl w:ilvl="4" w:tplc="08090019" w:tentative="1">
      <w:start w:val="1"/>
      <w:numFmt w:val="lowerLetter"/>
      <w:lvlText w:val="%5."/>
      <w:lvlJc w:val="left"/>
      <w:pPr>
        <w:ind w:left="3424" w:hanging="360"/>
      </w:pPr>
    </w:lvl>
    <w:lvl w:ilvl="5" w:tplc="0809001B" w:tentative="1">
      <w:start w:val="1"/>
      <w:numFmt w:val="lowerRoman"/>
      <w:lvlText w:val="%6."/>
      <w:lvlJc w:val="right"/>
      <w:pPr>
        <w:ind w:left="4144" w:hanging="180"/>
      </w:pPr>
    </w:lvl>
    <w:lvl w:ilvl="6" w:tplc="0809000F" w:tentative="1">
      <w:start w:val="1"/>
      <w:numFmt w:val="decimal"/>
      <w:lvlText w:val="%7."/>
      <w:lvlJc w:val="left"/>
      <w:pPr>
        <w:ind w:left="4864" w:hanging="360"/>
      </w:pPr>
    </w:lvl>
    <w:lvl w:ilvl="7" w:tplc="08090019" w:tentative="1">
      <w:start w:val="1"/>
      <w:numFmt w:val="lowerLetter"/>
      <w:lvlText w:val="%8."/>
      <w:lvlJc w:val="left"/>
      <w:pPr>
        <w:ind w:left="5584" w:hanging="360"/>
      </w:pPr>
    </w:lvl>
    <w:lvl w:ilvl="8" w:tplc="0809001B" w:tentative="1">
      <w:start w:val="1"/>
      <w:numFmt w:val="lowerRoman"/>
      <w:lvlText w:val="%9."/>
      <w:lvlJc w:val="right"/>
      <w:pPr>
        <w:ind w:left="6304" w:hanging="180"/>
      </w:pPr>
    </w:lvl>
  </w:abstractNum>
  <w:abstractNum w:abstractNumId="21" w15:restartNumberingAfterBreak="0">
    <w:nsid w:val="7EF5498A"/>
    <w:multiLevelType w:val="hybridMultilevel"/>
    <w:tmpl w:val="CB76FBCE"/>
    <w:lvl w:ilvl="0" w:tplc="BF2A32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15"/>
  </w:num>
  <w:num w:numId="5">
    <w:abstractNumId w:val="18"/>
  </w:num>
  <w:num w:numId="6">
    <w:abstractNumId w:val="21"/>
  </w:num>
  <w:num w:numId="7">
    <w:abstractNumId w:val="2"/>
  </w:num>
  <w:num w:numId="8">
    <w:abstractNumId w:val="9"/>
  </w:num>
  <w:num w:numId="9">
    <w:abstractNumId w:val="1"/>
  </w:num>
  <w:num w:numId="10">
    <w:abstractNumId w:val="19"/>
  </w:num>
  <w:num w:numId="11">
    <w:abstractNumId w:val="7"/>
  </w:num>
  <w:num w:numId="12">
    <w:abstractNumId w:val="0"/>
  </w:num>
  <w:num w:numId="13">
    <w:abstractNumId w:val="11"/>
  </w:num>
  <w:num w:numId="14">
    <w:abstractNumId w:val="12"/>
  </w:num>
  <w:num w:numId="15">
    <w:abstractNumId w:val="14"/>
  </w:num>
  <w:num w:numId="16">
    <w:abstractNumId w:val="17"/>
  </w:num>
  <w:num w:numId="17">
    <w:abstractNumId w:val="3"/>
  </w:num>
  <w:num w:numId="18">
    <w:abstractNumId w:val="16"/>
  </w:num>
  <w:num w:numId="19">
    <w:abstractNumId w:val="8"/>
  </w:num>
  <w:num w:numId="20">
    <w:abstractNumId w:val="4"/>
  </w:num>
  <w:num w:numId="21">
    <w:abstractNumId w:val="6"/>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52A"/>
    <w:rsid w:val="00000D3F"/>
    <w:rsid w:val="00004582"/>
    <w:rsid w:val="000255A2"/>
    <w:rsid w:val="00034D99"/>
    <w:rsid w:val="00055E03"/>
    <w:rsid w:val="0006265D"/>
    <w:rsid w:val="00064396"/>
    <w:rsid w:val="00092214"/>
    <w:rsid w:val="000B0308"/>
    <w:rsid w:val="000D01E4"/>
    <w:rsid w:val="00111291"/>
    <w:rsid w:val="001809EB"/>
    <w:rsid w:val="001819DF"/>
    <w:rsid w:val="001914C7"/>
    <w:rsid w:val="00194B53"/>
    <w:rsid w:val="001971A1"/>
    <w:rsid w:val="001C4005"/>
    <w:rsid w:val="001D76DC"/>
    <w:rsid w:val="001E4889"/>
    <w:rsid w:val="001E636E"/>
    <w:rsid w:val="0026571C"/>
    <w:rsid w:val="00266821"/>
    <w:rsid w:val="00286C25"/>
    <w:rsid w:val="002944D5"/>
    <w:rsid w:val="002C360A"/>
    <w:rsid w:val="002E1270"/>
    <w:rsid w:val="0031659C"/>
    <w:rsid w:val="003A0791"/>
    <w:rsid w:val="003B34AD"/>
    <w:rsid w:val="003B679A"/>
    <w:rsid w:val="003B7E7A"/>
    <w:rsid w:val="003D68AA"/>
    <w:rsid w:val="003F523A"/>
    <w:rsid w:val="00423554"/>
    <w:rsid w:val="004313E9"/>
    <w:rsid w:val="00435409"/>
    <w:rsid w:val="004400D3"/>
    <w:rsid w:val="00464295"/>
    <w:rsid w:val="004B130F"/>
    <w:rsid w:val="004B5F33"/>
    <w:rsid w:val="005119F8"/>
    <w:rsid w:val="00517D13"/>
    <w:rsid w:val="00532ACA"/>
    <w:rsid w:val="005403D8"/>
    <w:rsid w:val="00544923"/>
    <w:rsid w:val="00562D2F"/>
    <w:rsid w:val="005844B5"/>
    <w:rsid w:val="0059503F"/>
    <w:rsid w:val="005C144F"/>
    <w:rsid w:val="005C26BD"/>
    <w:rsid w:val="005C5F7B"/>
    <w:rsid w:val="005E2867"/>
    <w:rsid w:val="00602A7A"/>
    <w:rsid w:val="00606C5D"/>
    <w:rsid w:val="00616484"/>
    <w:rsid w:val="00647C3F"/>
    <w:rsid w:val="00652E82"/>
    <w:rsid w:val="006734E0"/>
    <w:rsid w:val="00676DA3"/>
    <w:rsid w:val="00691C11"/>
    <w:rsid w:val="006B4624"/>
    <w:rsid w:val="006C09C4"/>
    <w:rsid w:val="006C520C"/>
    <w:rsid w:val="006D3A35"/>
    <w:rsid w:val="006D747F"/>
    <w:rsid w:val="006E0B51"/>
    <w:rsid w:val="0071099E"/>
    <w:rsid w:val="0071188A"/>
    <w:rsid w:val="00734FAB"/>
    <w:rsid w:val="00737611"/>
    <w:rsid w:val="007627E6"/>
    <w:rsid w:val="007660D7"/>
    <w:rsid w:val="0078405C"/>
    <w:rsid w:val="00785E80"/>
    <w:rsid w:val="00787EC3"/>
    <w:rsid w:val="007963CC"/>
    <w:rsid w:val="007C2B89"/>
    <w:rsid w:val="007D50DD"/>
    <w:rsid w:val="00833E1E"/>
    <w:rsid w:val="00834584"/>
    <w:rsid w:val="008351A6"/>
    <w:rsid w:val="00846158"/>
    <w:rsid w:val="00854C42"/>
    <w:rsid w:val="00857119"/>
    <w:rsid w:val="00866C06"/>
    <w:rsid w:val="00885C12"/>
    <w:rsid w:val="008A3922"/>
    <w:rsid w:val="008A7D90"/>
    <w:rsid w:val="008B340B"/>
    <w:rsid w:val="008E5EE5"/>
    <w:rsid w:val="009015C9"/>
    <w:rsid w:val="0090537E"/>
    <w:rsid w:val="00923F7C"/>
    <w:rsid w:val="00933D01"/>
    <w:rsid w:val="009922DB"/>
    <w:rsid w:val="009C123B"/>
    <w:rsid w:val="009D7A47"/>
    <w:rsid w:val="009E2B63"/>
    <w:rsid w:val="009F1249"/>
    <w:rsid w:val="009F52CF"/>
    <w:rsid w:val="00A1286E"/>
    <w:rsid w:val="00A4618D"/>
    <w:rsid w:val="00A760A8"/>
    <w:rsid w:val="00A91181"/>
    <w:rsid w:val="00A9704A"/>
    <w:rsid w:val="00AB75B5"/>
    <w:rsid w:val="00AD33C7"/>
    <w:rsid w:val="00B03B39"/>
    <w:rsid w:val="00B22DC9"/>
    <w:rsid w:val="00B249CE"/>
    <w:rsid w:val="00B25803"/>
    <w:rsid w:val="00B27139"/>
    <w:rsid w:val="00B57C95"/>
    <w:rsid w:val="00B62F7D"/>
    <w:rsid w:val="00B65B86"/>
    <w:rsid w:val="00B67FE2"/>
    <w:rsid w:val="00B73BF1"/>
    <w:rsid w:val="00B8298D"/>
    <w:rsid w:val="00B87EBF"/>
    <w:rsid w:val="00B976AC"/>
    <w:rsid w:val="00BA2A3A"/>
    <w:rsid w:val="00BA42AA"/>
    <w:rsid w:val="00BC7992"/>
    <w:rsid w:val="00BD7860"/>
    <w:rsid w:val="00BE1FCC"/>
    <w:rsid w:val="00BF0776"/>
    <w:rsid w:val="00C1552A"/>
    <w:rsid w:val="00C2585C"/>
    <w:rsid w:val="00C301E8"/>
    <w:rsid w:val="00C3400F"/>
    <w:rsid w:val="00C41AE9"/>
    <w:rsid w:val="00C4241A"/>
    <w:rsid w:val="00C46277"/>
    <w:rsid w:val="00C468BA"/>
    <w:rsid w:val="00C46CD0"/>
    <w:rsid w:val="00C66F63"/>
    <w:rsid w:val="00C742E8"/>
    <w:rsid w:val="00C87EB1"/>
    <w:rsid w:val="00CA18BB"/>
    <w:rsid w:val="00CB5059"/>
    <w:rsid w:val="00CC03F7"/>
    <w:rsid w:val="00CC0768"/>
    <w:rsid w:val="00CC6785"/>
    <w:rsid w:val="00CF44D3"/>
    <w:rsid w:val="00D01304"/>
    <w:rsid w:val="00D50108"/>
    <w:rsid w:val="00D6666A"/>
    <w:rsid w:val="00D70813"/>
    <w:rsid w:val="00D7159E"/>
    <w:rsid w:val="00D90874"/>
    <w:rsid w:val="00DB4751"/>
    <w:rsid w:val="00DD03B9"/>
    <w:rsid w:val="00DF05AC"/>
    <w:rsid w:val="00DF4811"/>
    <w:rsid w:val="00DF79B7"/>
    <w:rsid w:val="00E27A1B"/>
    <w:rsid w:val="00E3378C"/>
    <w:rsid w:val="00E3724A"/>
    <w:rsid w:val="00E7682F"/>
    <w:rsid w:val="00E927B5"/>
    <w:rsid w:val="00E96994"/>
    <w:rsid w:val="00EC4116"/>
    <w:rsid w:val="00ED6CA8"/>
    <w:rsid w:val="00EE51B1"/>
    <w:rsid w:val="00EF2CBE"/>
    <w:rsid w:val="00EF48F7"/>
    <w:rsid w:val="00F167F6"/>
    <w:rsid w:val="00F169AB"/>
    <w:rsid w:val="00F233A4"/>
    <w:rsid w:val="00F2745F"/>
    <w:rsid w:val="00F52F68"/>
    <w:rsid w:val="00F66E9C"/>
    <w:rsid w:val="00F71766"/>
    <w:rsid w:val="00F93AF2"/>
    <w:rsid w:val="00FA763D"/>
    <w:rsid w:val="00FE205F"/>
    <w:rsid w:val="00FF1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C4CEAE"/>
  <w15:docId w15:val="{6F6EB3CD-1084-478F-BA4E-96F8CB0F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ReportNumbering">
    <w:name w:val="Report Numbering"/>
    <w:basedOn w:val="Normal"/>
    <w:pPr>
      <w:numPr>
        <w:numId w:val="1"/>
      </w:numPr>
    </w:pPr>
  </w:style>
  <w:style w:type="paragraph" w:customStyle="1" w:styleId="DefaultText">
    <w:name w:val="Default Text"/>
    <w:basedOn w:val="Normal"/>
    <w:pPr>
      <w:tabs>
        <w:tab w:val="left" w:pos="1225"/>
      </w:tabs>
      <w:ind w:left="1225"/>
      <w:jc w:val="both"/>
    </w:pPr>
    <w:rPr>
      <w:rFonts w:ascii="Verdana" w:hAnsi="Verdana"/>
      <w:sz w:val="20"/>
      <w:szCs w:val="20"/>
      <w:lang w:val="en-US"/>
    </w:rPr>
  </w:style>
  <w:style w:type="paragraph" w:customStyle="1" w:styleId="body">
    <w:name w:val="body"/>
    <w:pPr>
      <w:widowControl w:val="0"/>
      <w:tabs>
        <w:tab w:val="left" w:pos="540"/>
      </w:tabs>
      <w:spacing w:line="300" w:lineRule="auto"/>
    </w:pPr>
    <w:rPr>
      <w:snapToGrid w:val="0"/>
      <w:color w:val="000000"/>
      <w:lang w:val="en-US" w:eastAsia="en-US"/>
    </w:rPr>
  </w:style>
  <w:style w:type="paragraph" w:customStyle="1" w:styleId="subheadA">
    <w:name w:val="subheadA"/>
    <w:pPr>
      <w:widowControl w:val="0"/>
      <w:tabs>
        <w:tab w:val="left" w:pos="540"/>
      </w:tabs>
      <w:spacing w:before="240" w:after="60" w:line="300" w:lineRule="auto"/>
    </w:pPr>
    <w:rPr>
      <w:rFonts w:ascii="GillSans" w:hAnsi="GillSans"/>
      <w:b/>
      <w:snapToGrid w:val="0"/>
      <w:sz w:val="28"/>
      <w:lang w:val="en-US" w:eastAsia="en-US"/>
    </w:rPr>
  </w:style>
  <w:style w:type="paragraph" w:customStyle="1" w:styleId="bodyindent">
    <w:name w:val="bodyindent"/>
    <w:basedOn w:val="body"/>
    <w:pPr>
      <w:tabs>
        <w:tab w:val="clear" w:pos="540"/>
        <w:tab w:val="left" w:pos="480"/>
        <w:tab w:val="left" w:pos="960"/>
        <w:tab w:val="left" w:pos="1440"/>
      </w:tabs>
      <w:ind w:left="480" w:hanging="480"/>
    </w:pPr>
    <w:rPr>
      <w:color w:val="auto"/>
    </w:rPr>
  </w:style>
  <w:style w:type="paragraph" w:customStyle="1" w:styleId="nest2">
    <w:name w:val="nest2"/>
    <w:basedOn w:val="nest"/>
    <w:pPr>
      <w:tabs>
        <w:tab w:val="left" w:pos="1200"/>
      </w:tabs>
      <w:spacing w:before="80"/>
    </w:pPr>
  </w:style>
  <w:style w:type="paragraph" w:customStyle="1" w:styleId="nest">
    <w:name w:val="nest"/>
    <w:basedOn w:val="body"/>
    <w:pPr>
      <w:tabs>
        <w:tab w:val="clear" w:pos="540"/>
        <w:tab w:val="left" w:pos="960"/>
      </w:tabs>
      <w:spacing w:before="150"/>
      <w:ind w:left="960" w:hanging="480"/>
    </w:pPr>
    <w:rPr>
      <w:color w:val="auto"/>
    </w:rPr>
  </w:style>
  <w:style w:type="paragraph" w:customStyle="1" w:styleId="subheadB">
    <w:name w:val="subheadB"/>
    <w:basedOn w:val="subheadA"/>
    <w:rPr>
      <w:sz w:val="20"/>
    </w:rPr>
  </w:style>
  <w:style w:type="paragraph" w:customStyle="1" w:styleId="subheadC">
    <w:name w:val="subheadC"/>
    <w:pPr>
      <w:widowControl w:val="0"/>
      <w:spacing w:after="60" w:line="300" w:lineRule="auto"/>
      <w:jc w:val="both"/>
    </w:pPr>
    <w:rPr>
      <w:rFonts w:ascii="GillSans" w:hAnsi="GillSans"/>
      <w:b/>
      <w:snapToGrid w:val="0"/>
      <w:sz w:val="18"/>
      <w:lang w:val="en-US" w:eastAsia="en-US"/>
    </w:rPr>
  </w:style>
  <w:style w:type="character" w:styleId="CommentReference">
    <w:name w:val="annotation reference"/>
    <w:semiHidden/>
    <w:rsid w:val="00E96994"/>
    <w:rPr>
      <w:sz w:val="16"/>
      <w:szCs w:val="16"/>
    </w:rPr>
  </w:style>
  <w:style w:type="paragraph" w:styleId="CommentText">
    <w:name w:val="annotation text"/>
    <w:basedOn w:val="Normal"/>
    <w:semiHidden/>
    <w:rsid w:val="00E96994"/>
    <w:rPr>
      <w:sz w:val="20"/>
      <w:szCs w:val="20"/>
    </w:rPr>
  </w:style>
  <w:style w:type="paragraph" w:styleId="CommentSubject">
    <w:name w:val="annotation subject"/>
    <w:basedOn w:val="CommentText"/>
    <w:next w:val="CommentText"/>
    <w:semiHidden/>
    <w:rsid w:val="00E96994"/>
    <w:rPr>
      <w:b/>
      <w:bCs/>
    </w:rPr>
  </w:style>
  <w:style w:type="paragraph" w:styleId="BalloonText">
    <w:name w:val="Balloon Text"/>
    <w:basedOn w:val="Normal"/>
    <w:semiHidden/>
    <w:rsid w:val="00E96994"/>
    <w:rPr>
      <w:rFonts w:ascii="Tahoma" w:hAnsi="Tahoma" w:cs="Tahoma"/>
      <w:sz w:val="16"/>
      <w:szCs w:val="16"/>
    </w:rPr>
  </w:style>
  <w:style w:type="table" w:styleId="TableGrid">
    <w:name w:val="Table Grid"/>
    <w:basedOn w:val="TableNormal"/>
    <w:rsid w:val="00D50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b05fc18-ae47-47e9-9e53-75e7773d21ba">
    <w:name w:val="6b05fc18-ae47-47e9-9e53-75e7773d21ba"/>
    <w:basedOn w:val="Normal"/>
    <w:rsid w:val="00B25803"/>
    <w:rPr>
      <w:rFonts w:eastAsia="Calibri"/>
      <w:lang w:eastAsia="en-GB"/>
    </w:rPr>
  </w:style>
  <w:style w:type="paragraph" w:styleId="ListParagraph">
    <w:name w:val="List Paragraph"/>
    <w:basedOn w:val="Normal"/>
    <w:uiPriority w:val="34"/>
    <w:qFormat/>
    <w:rsid w:val="00BC7992"/>
    <w:pPr>
      <w:ind w:left="720"/>
      <w:contextualSpacing/>
    </w:pPr>
  </w:style>
  <w:style w:type="character" w:styleId="Hyperlink">
    <w:name w:val="Hyperlink"/>
    <w:rsid w:val="00BC7992"/>
    <w:rPr>
      <w:strike w:val="0"/>
      <w:dstrike w:val="0"/>
      <w:color w:val="0033CC"/>
      <w:u w:val="none"/>
      <w:effect w:val="none"/>
    </w:rPr>
  </w:style>
  <w:style w:type="paragraph" w:styleId="BlockText">
    <w:name w:val="Block Text"/>
    <w:basedOn w:val="Normal"/>
    <w:rsid w:val="00BC7992"/>
    <w:pPr>
      <w:ind w:left="1080" w:right="875"/>
      <w:jc w:val="both"/>
    </w:pPr>
    <w:rPr>
      <w:i/>
    </w:rPr>
  </w:style>
  <w:style w:type="character" w:styleId="FollowedHyperlink">
    <w:name w:val="FollowedHyperlink"/>
    <w:basedOn w:val="DefaultParagraphFont"/>
    <w:rsid w:val="00B976AC"/>
    <w:rPr>
      <w:color w:val="800080" w:themeColor="followedHyperlink"/>
      <w:u w:val="single"/>
    </w:rPr>
  </w:style>
  <w:style w:type="paragraph" w:customStyle="1" w:styleId="Default">
    <w:name w:val="Default"/>
    <w:rsid w:val="00286C25"/>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034D99"/>
    <w:rPr>
      <w:b/>
      <w:bCs/>
    </w:rPr>
  </w:style>
  <w:style w:type="paragraph" w:styleId="NormalWeb">
    <w:name w:val="Normal (Web)"/>
    <w:basedOn w:val="Normal"/>
    <w:uiPriority w:val="99"/>
    <w:unhideWhenUsed/>
    <w:rsid w:val="00034D9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7272">
      <w:bodyDiv w:val="1"/>
      <w:marLeft w:val="0"/>
      <w:marRight w:val="0"/>
      <w:marTop w:val="0"/>
      <w:marBottom w:val="0"/>
      <w:divBdr>
        <w:top w:val="none" w:sz="0" w:space="0" w:color="auto"/>
        <w:left w:val="none" w:sz="0" w:space="0" w:color="auto"/>
        <w:bottom w:val="none" w:sz="0" w:space="0" w:color="auto"/>
        <w:right w:val="none" w:sz="0" w:space="0" w:color="auto"/>
      </w:divBdr>
    </w:div>
    <w:div w:id="253443249">
      <w:bodyDiv w:val="1"/>
      <w:marLeft w:val="0"/>
      <w:marRight w:val="0"/>
      <w:marTop w:val="0"/>
      <w:marBottom w:val="0"/>
      <w:divBdr>
        <w:top w:val="none" w:sz="0" w:space="0" w:color="auto"/>
        <w:left w:val="none" w:sz="0" w:space="0" w:color="auto"/>
        <w:bottom w:val="none" w:sz="0" w:space="0" w:color="auto"/>
        <w:right w:val="none" w:sz="0" w:space="0" w:color="auto"/>
      </w:divBdr>
      <w:divsChild>
        <w:div w:id="1213078403">
          <w:marLeft w:val="0"/>
          <w:marRight w:val="0"/>
          <w:marTop w:val="0"/>
          <w:marBottom w:val="0"/>
          <w:divBdr>
            <w:top w:val="none" w:sz="0" w:space="0" w:color="auto"/>
            <w:left w:val="none" w:sz="0" w:space="0" w:color="auto"/>
            <w:bottom w:val="none" w:sz="0" w:space="0" w:color="auto"/>
            <w:right w:val="none" w:sz="0" w:space="0" w:color="auto"/>
          </w:divBdr>
          <w:divsChild>
            <w:div w:id="1986812336">
              <w:marLeft w:val="0"/>
              <w:marRight w:val="0"/>
              <w:marTop w:val="0"/>
              <w:marBottom w:val="0"/>
              <w:divBdr>
                <w:top w:val="none" w:sz="0" w:space="0" w:color="auto"/>
                <w:left w:val="none" w:sz="0" w:space="0" w:color="auto"/>
                <w:bottom w:val="none" w:sz="0" w:space="0" w:color="auto"/>
                <w:right w:val="none" w:sz="0" w:space="0" w:color="auto"/>
              </w:divBdr>
              <w:divsChild>
                <w:div w:id="529803840">
                  <w:marLeft w:val="0"/>
                  <w:marRight w:val="0"/>
                  <w:marTop w:val="0"/>
                  <w:marBottom w:val="0"/>
                  <w:divBdr>
                    <w:top w:val="none" w:sz="0" w:space="0" w:color="auto"/>
                    <w:left w:val="none" w:sz="0" w:space="0" w:color="auto"/>
                    <w:bottom w:val="none" w:sz="0" w:space="0" w:color="auto"/>
                    <w:right w:val="none" w:sz="0" w:space="0" w:color="auto"/>
                  </w:divBdr>
                  <w:divsChild>
                    <w:div w:id="1000501767">
                      <w:marLeft w:val="0"/>
                      <w:marRight w:val="0"/>
                      <w:marTop w:val="0"/>
                      <w:marBottom w:val="0"/>
                      <w:divBdr>
                        <w:top w:val="none" w:sz="0" w:space="0" w:color="auto"/>
                        <w:left w:val="none" w:sz="0" w:space="0" w:color="auto"/>
                        <w:bottom w:val="none" w:sz="0" w:space="0" w:color="auto"/>
                        <w:right w:val="none" w:sz="0" w:space="0" w:color="auto"/>
                      </w:divBdr>
                      <w:divsChild>
                        <w:div w:id="1617785202">
                          <w:marLeft w:val="0"/>
                          <w:marRight w:val="0"/>
                          <w:marTop w:val="0"/>
                          <w:marBottom w:val="0"/>
                          <w:divBdr>
                            <w:top w:val="none" w:sz="0" w:space="0" w:color="auto"/>
                            <w:left w:val="none" w:sz="0" w:space="0" w:color="auto"/>
                            <w:bottom w:val="none" w:sz="0" w:space="0" w:color="auto"/>
                            <w:right w:val="none" w:sz="0" w:space="0" w:color="auto"/>
                          </w:divBdr>
                          <w:divsChild>
                            <w:div w:id="20841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6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ousing-ombudsman.org.uk?Subject=Enquir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laint.info@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NSC NEW LANDLORD</vt:lpstr>
    </vt:vector>
  </TitlesOfParts>
  <Company>North Somerset Council</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 NEW LANDLORD</dc:title>
  <dc:creator>Lucy Rickson</dc:creator>
  <cp:lastModifiedBy>Zoe Manning</cp:lastModifiedBy>
  <cp:revision>5</cp:revision>
  <cp:lastPrinted>2011-10-19T10:08:00Z</cp:lastPrinted>
  <dcterms:created xsi:type="dcterms:W3CDTF">2017-03-30T11:23:00Z</dcterms:created>
  <dcterms:modified xsi:type="dcterms:W3CDTF">2019-01-21T10:20:00Z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